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663" w:rsidRDefault="00093663" w:rsidP="00093663">
      <w:pPr>
        <w:overflowPunct w:val="0"/>
        <w:autoSpaceDE w:val="0"/>
        <w:autoSpaceDN w:val="0"/>
        <w:adjustRightInd w:val="0"/>
        <w:jc w:val="center"/>
        <w:rPr>
          <w:rFonts w:ascii="Palatino Linotype" w:hAnsi="Palatino Linotype"/>
          <w:b/>
          <w:lang w:val="es-CL"/>
        </w:rPr>
      </w:pPr>
    </w:p>
    <w:p w:rsidR="00D31FED" w:rsidRDefault="00D31FED" w:rsidP="00D31FED">
      <w:pPr>
        <w:overflowPunct w:val="0"/>
        <w:autoSpaceDE w:val="0"/>
        <w:autoSpaceDN w:val="0"/>
        <w:adjustRightInd w:val="0"/>
        <w:jc w:val="both"/>
        <w:rPr>
          <w:rFonts w:ascii="Palatino Linotype" w:hAnsi="Palatino Linotype"/>
          <w:lang w:val="es-ES_tradnl"/>
        </w:rPr>
      </w:pPr>
      <w:r w:rsidRPr="00093663">
        <w:rPr>
          <w:rFonts w:ascii="Palatino Linotype" w:hAnsi="Palatino Linotype"/>
          <w:lang w:val="es-ES_tradnl"/>
        </w:rPr>
        <w:t>En Santiago</w:t>
      </w:r>
      <w:r>
        <w:rPr>
          <w:rFonts w:ascii="Palatino Linotype" w:hAnsi="Palatino Linotype"/>
          <w:lang w:val="es-ES_tradnl"/>
        </w:rPr>
        <w:t xml:space="preserve"> de Chile</w:t>
      </w:r>
      <w:r w:rsidRPr="00093663">
        <w:rPr>
          <w:rFonts w:ascii="Palatino Linotype" w:hAnsi="Palatino Linotype"/>
          <w:lang w:val="es-ES_tradnl"/>
        </w:rPr>
        <w:t xml:space="preserve">, a </w:t>
      </w:r>
      <w:r>
        <w:rPr>
          <w:rFonts w:ascii="Palatino Linotype" w:hAnsi="Palatino Linotype"/>
          <w:lang w:val="es-ES_tradnl"/>
        </w:rPr>
        <w:t>19 de junio de 2018</w:t>
      </w:r>
      <w:r w:rsidRPr="00093663">
        <w:rPr>
          <w:rFonts w:ascii="Palatino Linotype" w:hAnsi="Palatino Linotype"/>
          <w:lang w:val="es-ES_tradnl"/>
        </w:rPr>
        <w:t xml:space="preserve">, siendo las </w:t>
      </w:r>
      <w:r>
        <w:rPr>
          <w:rFonts w:ascii="Palatino Linotype" w:hAnsi="Palatino Linotype"/>
          <w:lang w:val="es-ES_tradnl"/>
        </w:rPr>
        <w:t>09:00 horas</w:t>
      </w:r>
      <w:r w:rsidRPr="00093663">
        <w:rPr>
          <w:rFonts w:ascii="Palatino Linotype" w:hAnsi="Palatino Linotype"/>
          <w:lang w:val="es-ES_tradnl"/>
        </w:rPr>
        <w:t xml:space="preserve">, en las oficinas ubicadas en </w:t>
      </w:r>
      <w:r>
        <w:rPr>
          <w:rFonts w:ascii="Palatino Linotype" w:hAnsi="Palatino Linotype"/>
          <w:lang w:val="es-ES_tradnl"/>
        </w:rPr>
        <w:t xml:space="preserve">Londres </w:t>
      </w:r>
      <w:r w:rsidRPr="00093663">
        <w:rPr>
          <w:rFonts w:ascii="Palatino Linotype" w:hAnsi="Palatino Linotype"/>
          <w:lang w:val="es-ES_tradnl"/>
        </w:rPr>
        <w:t>Nº</w:t>
      </w:r>
      <w:r>
        <w:rPr>
          <w:rFonts w:ascii="Palatino Linotype" w:hAnsi="Palatino Linotype"/>
          <w:lang w:val="es-ES_tradnl"/>
        </w:rPr>
        <w:t>79,</w:t>
      </w:r>
      <w:r w:rsidRPr="00093663">
        <w:rPr>
          <w:rFonts w:ascii="Palatino Linotype" w:hAnsi="Palatino Linotype"/>
          <w:lang w:val="es-ES_tradnl"/>
        </w:rPr>
        <w:t xml:space="preserve"> comuna de Santiago, </w:t>
      </w:r>
      <w:r>
        <w:rPr>
          <w:rFonts w:ascii="Palatino Linotype" w:hAnsi="Palatino Linotype"/>
          <w:lang w:val="es-ES_tradnl"/>
        </w:rPr>
        <w:t xml:space="preserve">se lleva a cabo la audiencia de declaración testimonial ante </w:t>
      </w:r>
      <w:r w:rsidRPr="00093663">
        <w:rPr>
          <w:rFonts w:ascii="Palatino Linotype" w:hAnsi="Palatino Linotype"/>
          <w:lang w:val="es-ES_tradnl"/>
        </w:rPr>
        <w:t>la Comisión Arbitral del Contrato de Concesión de la Obra Pública Fiscal denominada “Aeropuerto Internacional Arturo Merino Benítez de Santiago”</w:t>
      </w:r>
      <w:r>
        <w:rPr>
          <w:rFonts w:ascii="Palatino Linotype" w:hAnsi="Palatino Linotype"/>
          <w:lang w:val="es-ES_tradnl"/>
        </w:rPr>
        <w:t>, Rol N° 1-2017</w:t>
      </w:r>
      <w:r w:rsidRPr="00093663">
        <w:rPr>
          <w:rFonts w:ascii="Palatino Linotype" w:hAnsi="Palatino Linotype"/>
          <w:lang w:val="es-ES_tradnl"/>
        </w:rPr>
        <w:t xml:space="preserve">, con la asistencia de sus miembros titulares, </w:t>
      </w:r>
      <w:r>
        <w:rPr>
          <w:rFonts w:ascii="Palatino Linotype" w:hAnsi="Palatino Linotype"/>
          <w:lang w:val="es-ES_tradnl"/>
        </w:rPr>
        <w:t xml:space="preserve">don </w:t>
      </w:r>
      <w:r w:rsidRPr="00FC1330">
        <w:rPr>
          <w:rFonts w:ascii="Palatino Linotype" w:hAnsi="Palatino Linotype"/>
          <w:b/>
          <w:lang w:val="es-ES_tradnl"/>
        </w:rPr>
        <w:t>Juan Pablo Román Rodríguez</w:t>
      </w:r>
      <w:r w:rsidR="00EF2979">
        <w:rPr>
          <w:rFonts w:ascii="Palatino Linotype" w:hAnsi="Palatino Linotype"/>
          <w:lang w:val="es-ES_tradnl"/>
        </w:rPr>
        <w:t xml:space="preserve">, don </w:t>
      </w:r>
      <w:r w:rsidR="00EF2979" w:rsidRPr="00EF2979">
        <w:rPr>
          <w:rFonts w:ascii="Palatino Linotype" w:hAnsi="Palatino Linotype"/>
          <w:b/>
          <w:lang w:val="es-ES_tradnl"/>
        </w:rPr>
        <w:t>Marcelo Barrientos Zamorano</w:t>
      </w:r>
      <w:r w:rsidR="00EF2979">
        <w:rPr>
          <w:rFonts w:ascii="Palatino Linotype" w:hAnsi="Palatino Linotype"/>
          <w:lang w:val="es-ES_tradnl"/>
        </w:rPr>
        <w:t xml:space="preserve"> </w:t>
      </w:r>
      <w:r w:rsidRPr="00093663">
        <w:rPr>
          <w:rFonts w:ascii="Palatino Linotype" w:hAnsi="Palatino Linotype"/>
          <w:lang w:val="es-ES_tradnl"/>
        </w:rPr>
        <w:t xml:space="preserve">y </w:t>
      </w:r>
      <w:r>
        <w:rPr>
          <w:rFonts w:ascii="Palatino Linotype" w:hAnsi="Palatino Linotype"/>
          <w:lang w:val="es-ES_tradnl"/>
        </w:rPr>
        <w:t xml:space="preserve">don </w:t>
      </w:r>
      <w:r w:rsidRPr="00FC1330">
        <w:rPr>
          <w:rFonts w:ascii="Palatino Linotype" w:hAnsi="Palatino Linotype"/>
          <w:b/>
          <w:lang w:val="es-ES_tradnl"/>
        </w:rPr>
        <w:t>Carlos Mercado Herreros</w:t>
      </w:r>
      <w:r>
        <w:rPr>
          <w:rFonts w:ascii="Palatino Linotype" w:hAnsi="Palatino Linotype"/>
          <w:lang w:val="es-ES_tradnl"/>
        </w:rPr>
        <w:t>. Asiste también e</w:t>
      </w:r>
      <w:r w:rsidRPr="00093663">
        <w:rPr>
          <w:rFonts w:ascii="Palatino Linotype" w:hAnsi="Palatino Linotype"/>
          <w:lang w:val="es-ES_tradnl"/>
        </w:rPr>
        <w:t xml:space="preserve">l Secretario de la Comisión, don </w:t>
      </w:r>
      <w:r w:rsidRPr="00FC1330">
        <w:rPr>
          <w:rFonts w:ascii="Palatino Linotype" w:hAnsi="Palatino Linotype"/>
          <w:b/>
          <w:lang w:val="es-ES_tradnl"/>
        </w:rPr>
        <w:t>Javier Castillo Vial</w:t>
      </w:r>
      <w:r w:rsidRPr="00093663">
        <w:rPr>
          <w:rFonts w:ascii="Palatino Linotype" w:hAnsi="Palatino Linotype"/>
          <w:lang w:val="es-ES_tradnl"/>
        </w:rPr>
        <w:t>.</w:t>
      </w:r>
      <w:r>
        <w:rPr>
          <w:rFonts w:ascii="Palatino Linotype" w:hAnsi="Palatino Linotype"/>
          <w:lang w:val="es-ES_tradnl"/>
        </w:rPr>
        <w:t xml:space="preserve"> Por la parte demandante asisten los apoderados señores </w:t>
      </w:r>
      <w:r w:rsidRPr="005F4471">
        <w:rPr>
          <w:rFonts w:ascii="Palatino Linotype" w:hAnsi="Palatino Linotype"/>
          <w:b/>
          <w:lang w:val="es-ES_tradnl"/>
        </w:rPr>
        <w:t xml:space="preserve">Sebastián </w:t>
      </w:r>
      <w:proofErr w:type="spellStart"/>
      <w:r w:rsidRPr="005F4471">
        <w:rPr>
          <w:rFonts w:ascii="Palatino Linotype" w:hAnsi="Palatino Linotype"/>
          <w:b/>
          <w:lang w:val="es-ES_tradnl"/>
        </w:rPr>
        <w:t>Yanine</w:t>
      </w:r>
      <w:proofErr w:type="spellEnd"/>
      <w:r w:rsidRPr="005F4471">
        <w:rPr>
          <w:rFonts w:ascii="Palatino Linotype" w:hAnsi="Palatino Linotype"/>
          <w:b/>
          <w:lang w:val="es-ES_tradnl"/>
        </w:rPr>
        <w:t xml:space="preserve"> Montaner, </w:t>
      </w:r>
      <w:r w:rsidR="00144FE1">
        <w:rPr>
          <w:rFonts w:ascii="Palatino Linotype" w:hAnsi="Palatino Linotype"/>
          <w:b/>
          <w:lang w:val="es-ES_tradnl"/>
        </w:rPr>
        <w:t xml:space="preserve">Ricardo Escobar Calderón </w:t>
      </w:r>
      <w:r w:rsidR="00144FE1" w:rsidRPr="00144FE1">
        <w:rPr>
          <w:rFonts w:ascii="Palatino Linotype" w:hAnsi="Palatino Linotype"/>
          <w:lang w:val="es-ES_tradnl"/>
        </w:rPr>
        <w:t>y</w:t>
      </w:r>
      <w:r w:rsidR="00144FE1">
        <w:rPr>
          <w:rFonts w:ascii="Palatino Linotype" w:hAnsi="Palatino Linotype"/>
          <w:b/>
          <w:lang w:val="es-ES_tradnl"/>
        </w:rPr>
        <w:t xml:space="preserve"> </w:t>
      </w:r>
      <w:r w:rsidRPr="005F4471">
        <w:rPr>
          <w:rFonts w:ascii="Palatino Linotype" w:hAnsi="Palatino Linotype"/>
          <w:b/>
          <w:lang w:val="es-ES_tradnl"/>
        </w:rPr>
        <w:t>Katherine González Navarro</w:t>
      </w:r>
      <w:r>
        <w:rPr>
          <w:rFonts w:ascii="Palatino Linotype" w:hAnsi="Palatino Linotype"/>
          <w:lang w:val="es-ES_tradnl"/>
        </w:rPr>
        <w:t xml:space="preserve">. Por la parte demandada asisten sus apoderados don </w:t>
      </w:r>
      <w:r w:rsidRPr="004554DE">
        <w:rPr>
          <w:rFonts w:ascii="Palatino Linotype" w:hAnsi="Palatino Linotype"/>
          <w:b/>
          <w:lang w:val="es-ES_tradnl"/>
        </w:rPr>
        <w:t>Marcos Navarro Guevara</w:t>
      </w:r>
      <w:r>
        <w:rPr>
          <w:rFonts w:ascii="Palatino Linotype" w:hAnsi="Palatino Linotype"/>
          <w:lang w:val="es-ES_tradnl"/>
        </w:rPr>
        <w:t xml:space="preserve"> y don </w:t>
      </w:r>
      <w:r w:rsidRPr="004554DE">
        <w:rPr>
          <w:rFonts w:ascii="Palatino Linotype" w:hAnsi="Palatino Linotype"/>
          <w:b/>
          <w:lang w:val="es-ES_tradnl"/>
        </w:rPr>
        <w:t xml:space="preserve">Pablo Muñoz </w:t>
      </w:r>
      <w:proofErr w:type="spellStart"/>
      <w:r w:rsidRPr="004554DE">
        <w:rPr>
          <w:rFonts w:ascii="Palatino Linotype" w:hAnsi="Palatino Linotype"/>
          <w:b/>
          <w:lang w:val="es-ES_tradnl"/>
        </w:rPr>
        <w:t>Agurto</w:t>
      </w:r>
      <w:proofErr w:type="spellEnd"/>
      <w:r>
        <w:rPr>
          <w:rFonts w:ascii="Palatino Linotype" w:hAnsi="Palatino Linotype"/>
          <w:lang w:val="es-ES_tradnl"/>
        </w:rPr>
        <w:t>.</w:t>
      </w:r>
    </w:p>
    <w:p w:rsidR="0085750C" w:rsidRDefault="0085750C" w:rsidP="00D31FED">
      <w:pPr>
        <w:overflowPunct w:val="0"/>
        <w:autoSpaceDE w:val="0"/>
        <w:autoSpaceDN w:val="0"/>
        <w:adjustRightInd w:val="0"/>
        <w:jc w:val="both"/>
        <w:rPr>
          <w:rFonts w:ascii="Palatino Linotype" w:hAnsi="Palatino Linotype"/>
          <w:lang w:val="es-ES_tradnl"/>
        </w:rPr>
      </w:pPr>
    </w:p>
    <w:p w:rsidR="0085750C" w:rsidRDefault="005F7E48" w:rsidP="00D31FED">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Previo a la declaración testimonial, las partes de común acuerdo solicitan a la Comisión que se reprogramen las audiencias testimoniales en las fechas que indican. La Comisión accede a lo solicitado, por lo que la programación definitiva de las siguientes audiencias testimoniales será la siguiente: </w:t>
      </w:r>
    </w:p>
    <w:p w:rsidR="005928E7" w:rsidRDefault="005928E7" w:rsidP="00093663">
      <w:pPr>
        <w:overflowPunct w:val="0"/>
        <w:autoSpaceDE w:val="0"/>
        <w:autoSpaceDN w:val="0"/>
        <w:adjustRightInd w:val="0"/>
        <w:jc w:val="both"/>
        <w:rPr>
          <w:rFonts w:ascii="Palatino Linotype" w:hAnsi="Palatino Linotype"/>
          <w:lang w:val="es-ES_tradnl"/>
        </w:rPr>
      </w:pPr>
    </w:p>
    <w:p w:rsidR="005F7E48" w:rsidRDefault="005F7E48" w:rsidP="00093663">
      <w:pPr>
        <w:overflowPunct w:val="0"/>
        <w:autoSpaceDE w:val="0"/>
        <w:autoSpaceDN w:val="0"/>
        <w:adjustRightInd w:val="0"/>
        <w:jc w:val="both"/>
        <w:rPr>
          <w:rFonts w:ascii="Palatino Linotype" w:hAnsi="Palatino Linotype"/>
          <w:lang w:val="es-ES_tradnl"/>
        </w:rPr>
      </w:pPr>
      <w:r>
        <w:rPr>
          <w:rFonts w:ascii="Palatino Linotype" w:hAnsi="Palatino Linotype"/>
          <w:u w:val="single"/>
          <w:lang w:val="es-ES_tradnl"/>
        </w:rPr>
        <w:t>MARTES 26 DE JUNIO</w:t>
      </w:r>
      <w:r w:rsidRPr="005F7E48">
        <w:rPr>
          <w:rFonts w:ascii="Palatino Linotype" w:hAnsi="Palatino Linotype"/>
          <w:lang w:val="es-ES_tradnl"/>
        </w:rPr>
        <w:t>: TESTIGOS DE LA DEMANDANTE</w:t>
      </w:r>
    </w:p>
    <w:p w:rsidR="005F7E48" w:rsidRPr="005F7E48" w:rsidRDefault="005F7E48" w:rsidP="00093663">
      <w:pPr>
        <w:overflowPunct w:val="0"/>
        <w:autoSpaceDE w:val="0"/>
        <w:autoSpaceDN w:val="0"/>
        <w:adjustRightInd w:val="0"/>
        <w:jc w:val="both"/>
        <w:rPr>
          <w:rFonts w:ascii="Palatino Linotype" w:hAnsi="Palatino Linotype"/>
          <w:u w:val="single"/>
          <w:lang w:val="es-ES_tradnl"/>
        </w:rPr>
      </w:pPr>
    </w:p>
    <w:p w:rsidR="005F7E48" w:rsidRPr="005F7E48" w:rsidRDefault="005F7E48" w:rsidP="005F7E48">
      <w:pPr>
        <w:overflowPunct w:val="0"/>
        <w:autoSpaceDE w:val="0"/>
        <w:autoSpaceDN w:val="0"/>
        <w:adjustRightInd w:val="0"/>
        <w:jc w:val="both"/>
        <w:rPr>
          <w:rFonts w:ascii="Palatino Linotype" w:hAnsi="Palatino Linotype"/>
          <w:u w:val="single"/>
          <w:lang w:val="es-ES_tradnl"/>
        </w:rPr>
      </w:pPr>
      <w:r>
        <w:rPr>
          <w:rFonts w:ascii="Palatino Linotype" w:hAnsi="Palatino Linotype"/>
          <w:u w:val="single"/>
          <w:lang w:val="es-ES_tradnl"/>
        </w:rPr>
        <w:t>VIERNES 6 DE JULIO</w:t>
      </w:r>
      <w:r w:rsidRPr="005F7E48">
        <w:rPr>
          <w:rFonts w:ascii="Palatino Linotype" w:hAnsi="Palatino Linotype"/>
          <w:lang w:val="es-ES_tradnl"/>
        </w:rPr>
        <w:t>: TESTIGOS DE LA DEMANDANTE</w:t>
      </w:r>
    </w:p>
    <w:p w:rsidR="005F7E48" w:rsidRDefault="005F7E48" w:rsidP="005F7E48">
      <w:pPr>
        <w:overflowPunct w:val="0"/>
        <w:autoSpaceDE w:val="0"/>
        <w:autoSpaceDN w:val="0"/>
        <w:adjustRightInd w:val="0"/>
        <w:jc w:val="both"/>
        <w:rPr>
          <w:rFonts w:ascii="Palatino Linotype" w:hAnsi="Palatino Linotype"/>
          <w:u w:val="single"/>
          <w:lang w:val="es-ES_tradnl"/>
        </w:rPr>
      </w:pPr>
    </w:p>
    <w:p w:rsidR="005F7E48" w:rsidRPr="005F7E48" w:rsidRDefault="005F7E48" w:rsidP="005F7E48">
      <w:pPr>
        <w:overflowPunct w:val="0"/>
        <w:autoSpaceDE w:val="0"/>
        <w:autoSpaceDN w:val="0"/>
        <w:adjustRightInd w:val="0"/>
        <w:jc w:val="both"/>
        <w:rPr>
          <w:rFonts w:ascii="Palatino Linotype" w:hAnsi="Palatino Linotype"/>
          <w:u w:val="single"/>
          <w:lang w:val="es-ES_tradnl"/>
        </w:rPr>
      </w:pPr>
      <w:r>
        <w:rPr>
          <w:rFonts w:ascii="Palatino Linotype" w:hAnsi="Palatino Linotype"/>
          <w:u w:val="single"/>
          <w:lang w:val="es-ES_tradnl"/>
        </w:rPr>
        <w:t>LUNES 9 DE JULIO</w:t>
      </w:r>
      <w:r w:rsidRPr="005F7E48">
        <w:rPr>
          <w:rFonts w:ascii="Palatino Linotype" w:hAnsi="Palatino Linotype"/>
          <w:lang w:val="es-ES_tradnl"/>
        </w:rPr>
        <w:t>: TESTIGOS DE</w:t>
      </w:r>
      <w:r>
        <w:rPr>
          <w:rFonts w:ascii="Palatino Linotype" w:hAnsi="Palatino Linotype"/>
          <w:lang w:val="es-ES_tradnl"/>
        </w:rPr>
        <w:t>L DEMANDADO</w:t>
      </w:r>
    </w:p>
    <w:p w:rsidR="005F7E48" w:rsidRDefault="005F7E48" w:rsidP="005F7E48">
      <w:pPr>
        <w:overflowPunct w:val="0"/>
        <w:autoSpaceDE w:val="0"/>
        <w:autoSpaceDN w:val="0"/>
        <w:adjustRightInd w:val="0"/>
        <w:jc w:val="both"/>
        <w:rPr>
          <w:rFonts w:ascii="Palatino Linotype" w:hAnsi="Palatino Linotype"/>
          <w:u w:val="single"/>
          <w:lang w:val="es-ES_tradnl"/>
        </w:rPr>
      </w:pPr>
    </w:p>
    <w:p w:rsidR="005F7E48" w:rsidRPr="005F7E48" w:rsidRDefault="005F7E48" w:rsidP="005F7E48">
      <w:pPr>
        <w:overflowPunct w:val="0"/>
        <w:autoSpaceDE w:val="0"/>
        <w:autoSpaceDN w:val="0"/>
        <w:adjustRightInd w:val="0"/>
        <w:jc w:val="both"/>
        <w:rPr>
          <w:rFonts w:ascii="Palatino Linotype" w:hAnsi="Palatino Linotype"/>
          <w:u w:val="single"/>
          <w:lang w:val="es-ES_tradnl"/>
        </w:rPr>
      </w:pPr>
      <w:r>
        <w:rPr>
          <w:rFonts w:ascii="Palatino Linotype" w:hAnsi="Palatino Linotype"/>
          <w:u w:val="single"/>
          <w:lang w:val="es-ES_tradnl"/>
        </w:rPr>
        <w:t>MARTES 10 DE JULIO</w:t>
      </w:r>
      <w:r w:rsidRPr="005F7E48">
        <w:rPr>
          <w:rFonts w:ascii="Palatino Linotype" w:hAnsi="Palatino Linotype"/>
          <w:lang w:val="es-ES_tradnl"/>
        </w:rPr>
        <w:t>: TESTIGOS DE</w:t>
      </w:r>
      <w:r>
        <w:rPr>
          <w:rFonts w:ascii="Palatino Linotype" w:hAnsi="Palatino Linotype"/>
          <w:lang w:val="es-ES_tradnl"/>
        </w:rPr>
        <w:t>L DEMANDADO</w:t>
      </w:r>
    </w:p>
    <w:p w:rsidR="005F7E48" w:rsidRDefault="005F7E48" w:rsidP="005F7E48">
      <w:pPr>
        <w:overflowPunct w:val="0"/>
        <w:autoSpaceDE w:val="0"/>
        <w:autoSpaceDN w:val="0"/>
        <w:adjustRightInd w:val="0"/>
        <w:jc w:val="both"/>
        <w:rPr>
          <w:rFonts w:ascii="Palatino Linotype" w:hAnsi="Palatino Linotype"/>
          <w:u w:val="single"/>
          <w:lang w:val="es-ES_tradnl"/>
        </w:rPr>
      </w:pPr>
    </w:p>
    <w:p w:rsidR="00DB68AB" w:rsidRDefault="005F7E48" w:rsidP="005F7E48">
      <w:pPr>
        <w:overflowPunct w:val="0"/>
        <w:autoSpaceDE w:val="0"/>
        <w:autoSpaceDN w:val="0"/>
        <w:adjustRightInd w:val="0"/>
        <w:jc w:val="both"/>
        <w:rPr>
          <w:rFonts w:ascii="Palatino Linotype" w:hAnsi="Palatino Linotype"/>
          <w:lang w:val="es-ES_tradnl"/>
        </w:rPr>
      </w:pPr>
      <w:r>
        <w:rPr>
          <w:rFonts w:ascii="Palatino Linotype" w:hAnsi="Palatino Linotype"/>
          <w:u w:val="single"/>
          <w:lang w:val="es-ES_tradnl"/>
        </w:rPr>
        <w:t>JUEVES 12 DE JULIO</w:t>
      </w:r>
      <w:r w:rsidRPr="005F7E48">
        <w:rPr>
          <w:rFonts w:ascii="Palatino Linotype" w:hAnsi="Palatino Linotype"/>
          <w:lang w:val="es-ES_tradnl"/>
        </w:rPr>
        <w:t>: TESTIGOS DE</w:t>
      </w:r>
      <w:r>
        <w:rPr>
          <w:rFonts w:ascii="Palatino Linotype" w:hAnsi="Palatino Linotype"/>
          <w:lang w:val="es-ES_tradnl"/>
        </w:rPr>
        <w:t>L</w:t>
      </w:r>
      <w:r w:rsidRPr="005F7E48">
        <w:rPr>
          <w:rFonts w:ascii="Palatino Linotype" w:hAnsi="Palatino Linotype"/>
          <w:lang w:val="es-ES_tradnl"/>
        </w:rPr>
        <w:t xml:space="preserve"> DEMANDA</w:t>
      </w:r>
      <w:r>
        <w:rPr>
          <w:rFonts w:ascii="Palatino Linotype" w:hAnsi="Palatino Linotype"/>
          <w:lang w:val="es-ES_tradnl"/>
        </w:rPr>
        <w:t>DO</w:t>
      </w:r>
    </w:p>
    <w:p w:rsidR="005F7E48" w:rsidRDefault="005F7E48" w:rsidP="00093663">
      <w:pPr>
        <w:overflowPunct w:val="0"/>
        <w:autoSpaceDE w:val="0"/>
        <w:autoSpaceDN w:val="0"/>
        <w:adjustRightInd w:val="0"/>
        <w:jc w:val="both"/>
        <w:rPr>
          <w:rFonts w:ascii="Palatino Linotype" w:hAnsi="Palatino Linotype"/>
          <w:lang w:val="es-ES_tradnl"/>
        </w:rPr>
      </w:pPr>
    </w:p>
    <w:p w:rsidR="005F7E48" w:rsidRDefault="005F7E48" w:rsidP="00093663">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Todas las audiencias se realizarán de 9:00 a 13:00 </w:t>
      </w:r>
      <w:proofErr w:type="spellStart"/>
      <w:r>
        <w:rPr>
          <w:rFonts w:ascii="Palatino Linotype" w:hAnsi="Palatino Linotype"/>
          <w:lang w:val="es-ES_tradnl"/>
        </w:rPr>
        <w:t>hrs</w:t>
      </w:r>
      <w:proofErr w:type="spellEnd"/>
      <w:r>
        <w:rPr>
          <w:rFonts w:ascii="Palatino Linotype" w:hAnsi="Palatino Linotype"/>
          <w:lang w:val="es-ES_tradnl"/>
        </w:rPr>
        <w:t>., en las oficinas ubicadas en Londres N°79, comuna de Santiago.</w:t>
      </w:r>
    </w:p>
    <w:p w:rsidR="005F7E48" w:rsidRDefault="005F7E48" w:rsidP="00093663">
      <w:pPr>
        <w:overflowPunct w:val="0"/>
        <w:autoSpaceDE w:val="0"/>
        <w:autoSpaceDN w:val="0"/>
        <w:adjustRightInd w:val="0"/>
        <w:jc w:val="both"/>
        <w:rPr>
          <w:rFonts w:ascii="Palatino Linotype" w:hAnsi="Palatino Linotype"/>
          <w:lang w:val="es-ES_tradnl"/>
        </w:rPr>
      </w:pPr>
    </w:p>
    <w:p w:rsidR="005F7E48" w:rsidRDefault="005F7E48" w:rsidP="00093663">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Las partes quedan notificadas personalmente en este acto de lo resuelto.</w:t>
      </w:r>
    </w:p>
    <w:p w:rsidR="005F7E48" w:rsidRDefault="005F7E48" w:rsidP="00093663">
      <w:pPr>
        <w:overflowPunct w:val="0"/>
        <w:autoSpaceDE w:val="0"/>
        <w:autoSpaceDN w:val="0"/>
        <w:adjustRightInd w:val="0"/>
        <w:jc w:val="both"/>
        <w:rPr>
          <w:rFonts w:ascii="Palatino Linotype" w:hAnsi="Palatino Linotype"/>
          <w:lang w:val="es-ES_tradnl"/>
        </w:rPr>
      </w:pPr>
    </w:p>
    <w:p w:rsidR="00144A23" w:rsidRDefault="00144A23" w:rsidP="00093663">
      <w:pPr>
        <w:overflowPunct w:val="0"/>
        <w:autoSpaceDE w:val="0"/>
        <w:autoSpaceDN w:val="0"/>
        <w:adjustRightInd w:val="0"/>
        <w:jc w:val="both"/>
        <w:rPr>
          <w:rFonts w:ascii="Palatino Linotype" w:hAnsi="Palatino Linotype"/>
          <w:lang w:val="es-ES_tradnl"/>
        </w:rPr>
      </w:pPr>
    </w:p>
    <w:p w:rsidR="005F7E48" w:rsidRDefault="005F7E48" w:rsidP="005F7E48">
      <w:pPr>
        <w:overflowPunct w:val="0"/>
        <w:autoSpaceDE w:val="0"/>
        <w:autoSpaceDN w:val="0"/>
        <w:adjustRightInd w:val="0"/>
        <w:jc w:val="both"/>
        <w:rPr>
          <w:rFonts w:ascii="Palatino Linotype" w:hAnsi="Palatino Linotype"/>
          <w:lang w:val="es-ES_tradnl"/>
        </w:rPr>
      </w:pPr>
      <w:r>
        <w:rPr>
          <w:rFonts w:ascii="Palatino Linotype" w:hAnsi="Palatino Linotype"/>
          <w:b/>
          <w:lang w:val="es-ES_tradnl"/>
        </w:rPr>
        <w:t xml:space="preserve">CONTINUACIÓN </w:t>
      </w:r>
      <w:r>
        <w:rPr>
          <w:rFonts w:ascii="Palatino Linotype" w:hAnsi="Palatino Linotype"/>
          <w:lang w:val="es-ES_tradnl"/>
        </w:rPr>
        <w:t xml:space="preserve">de la declaración testimonial del testigo de la parte demandante, don </w:t>
      </w:r>
      <w:r>
        <w:rPr>
          <w:rFonts w:ascii="Palatino Linotype" w:hAnsi="Palatino Linotype"/>
          <w:b/>
          <w:lang w:val="es-ES_tradnl"/>
        </w:rPr>
        <w:t xml:space="preserve">Raphael Alain Louis </w:t>
      </w:r>
      <w:proofErr w:type="spellStart"/>
      <w:r>
        <w:rPr>
          <w:rFonts w:ascii="Palatino Linotype" w:hAnsi="Palatino Linotype"/>
          <w:b/>
          <w:lang w:val="es-ES_tradnl"/>
        </w:rPr>
        <w:t>Pourny</w:t>
      </w:r>
      <w:proofErr w:type="spellEnd"/>
      <w:r>
        <w:rPr>
          <w:rFonts w:ascii="Palatino Linotype" w:hAnsi="Palatino Linotype"/>
          <w:lang w:val="es-ES_tradnl"/>
        </w:rPr>
        <w:t xml:space="preserve">, </w:t>
      </w:r>
      <w:r w:rsidR="00144A23">
        <w:rPr>
          <w:rFonts w:ascii="Palatino Linotype" w:hAnsi="Palatino Linotype"/>
          <w:lang w:val="es-ES_tradnl"/>
        </w:rPr>
        <w:t xml:space="preserve">ingeniero hidráulico y administrador de empresas, </w:t>
      </w:r>
      <w:r>
        <w:rPr>
          <w:rFonts w:ascii="Palatino Linotype" w:hAnsi="Palatino Linotype"/>
          <w:lang w:val="es-ES_tradnl"/>
        </w:rPr>
        <w:t>ya individualizado, comenzada en la audiencia del día de ayer 18 de junio de 2018.</w:t>
      </w:r>
    </w:p>
    <w:p w:rsidR="005F7E48" w:rsidRDefault="005F7E48" w:rsidP="005F7E48">
      <w:pPr>
        <w:overflowPunct w:val="0"/>
        <w:autoSpaceDE w:val="0"/>
        <w:autoSpaceDN w:val="0"/>
        <w:adjustRightInd w:val="0"/>
        <w:rPr>
          <w:rFonts w:ascii="Palatino Linotype" w:hAnsi="Palatino Linotype"/>
          <w:b/>
          <w:lang w:val="es-ES_tradnl"/>
        </w:rPr>
      </w:pPr>
    </w:p>
    <w:p w:rsidR="004C78F1" w:rsidRDefault="004C78F1" w:rsidP="004C78F1">
      <w:pPr>
        <w:overflowPunct w:val="0"/>
        <w:autoSpaceDE w:val="0"/>
        <w:autoSpaceDN w:val="0"/>
        <w:adjustRightInd w:val="0"/>
        <w:ind w:left="360"/>
        <w:jc w:val="both"/>
        <w:rPr>
          <w:rFonts w:ascii="Palatino Linotype" w:hAnsi="Palatino Linotype"/>
          <w:lang w:val="es-ES_tradnl"/>
        </w:rPr>
      </w:pPr>
    </w:p>
    <w:p w:rsidR="0085750C" w:rsidRDefault="004F30D5" w:rsidP="0063693F">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EL TESTIGO </w:t>
      </w:r>
      <w:r w:rsidR="0085750C">
        <w:rPr>
          <w:rFonts w:ascii="Palatino Linotype" w:hAnsi="Palatino Linotype"/>
          <w:lang w:val="es-ES_tradnl"/>
        </w:rPr>
        <w:t>DECLARA AL PUNTO DE PRUEBA 3</w:t>
      </w:r>
      <w:r w:rsidR="00144A23">
        <w:rPr>
          <w:rFonts w:ascii="Palatino Linotype" w:hAnsi="Palatino Linotype"/>
          <w:lang w:val="es-ES_tradnl"/>
        </w:rPr>
        <w:t xml:space="preserve"> DE LA INTERLOCUTORIA DE PRUEBA DE FOJAS 312</w:t>
      </w:r>
      <w:r>
        <w:rPr>
          <w:rFonts w:ascii="Palatino Linotype" w:hAnsi="Palatino Linotype"/>
          <w:lang w:val="es-ES_tradnl"/>
        </w:rPr>
        <w:t>:</w:t>
      </w:r>
    </w:p>
    <w:p w:rsidR="0085750C" w:rsidRDefault="0085750C" w:rsidP="0085750C">
      <w:pPr>
        <w:pStyle w:val="paragraph"/>
        <w:ind w:left="1080"/>
        <w:jc w:val="both"/>
        <w:textAlignment w:val="baseline"/>
        <w:rPr>
          <w:rStyle w:val="eop"/>
          <w:rFonts w:ascii="Palatino Linotype" w:hAnsi="Palatino Linotype"/>
          <w:sz w:val="22"/>
          <w:szCs w:val="22"/>
        </w:rPr>
      </w:pPr>
      <w:r>
        <w:rPr>
          <w:rStyle w:val="normaltextrun"/>
          <w:rFonts w:ascii="Palatino Linotype" w:hAnsi="Palatino Linotype"/>
          <w:sz w:val="22"/>
          <w:szCs w:val="22"/>
          <w:lang w:val="es-ES"/>
        </w:rPr>
        <w:t>Efectividad que los accionistas de la Concesionaria habrían sufrido una pérdida de ingresos por la aplicación de una tarifa inferior a la Tarifa Máxima de las BALI, a consecuencia de la instrucción del Ministerio de Obras Públicas.</w:t>
      </w:r>
      <w:r>
        <w:rPr>
          <w:rStyle w:val="eop"/>
          <w:rFonts w:ascii="Palatino Linotype" w:hAnsi="Palatino Linotype"/>
          <w:sz w:val="22"/>
          <w:szCs w:val="22"/>
        </w:rPr>
        <w:t> </w:t>
      </w:r>
    </w:p>
    <w:p w:rsidR="00934DE1" w:rsidRDefault="00144A23" w:rsidP="0085750C">
      <w:pPr>
        <w:pStyle w:val="paragraph"/>
        <w:ind w:left="1080"/>
        <w:jc w:val="both"/>
        <w:textAlignment w:val="baseline"/>
        <w:rPr>
          <w:rStyle w:val="eop"/>
          <w:rFonts w:ascii="Palatino Linotype" w:hAnsi="Palatino Linotype"/>
          <w:sz w:val="22"/>
          <w:szCs w:val="22"/>
        </w:rPr>
      </w:pPr>
      <w:r>
        <w:rPr>
          <w:rStyle w:val="eop"/>
          <w:rFonts w:ascii="Palatino Linotype" w:hAnsi="Palatino Linotype"/>
          <w:sz w:val="22"/>
          <w:szCs w:val="22"/>
        </w:rPr>
        <w:t>R: No fue que los accionistas hayan sufrido una pérdida de ingresos, lo que sucede es que este litigio puede afectar los ingresos de la Concesionaria durante toda la duración de la concesión y, por ende, los accionistas tuvieron que poner una garantía consistente en aportar capitales adicionales a la Concesionaria para cubrir dos efectos: unos menores ingresos por el hecho de no haber podido cobrar las tarifas máximas más IVA</w:t>
      </w:r>
      <w:r w:rsidR="00934DE1">
        <w:rPr>
          <w:rStyle w:val="eop"/>
          <w:rFonts w:ascii="Palatino Linotype" w:hAnsi="Palatino Linotype"/>
          <w:sz w:val="22"/>
          <w:szCs w:val="22"/>
        </w:rPr>
        <w:t xml:space="preserve"> desde el inicio de la concesión para el servicio de estacionamiento y desde el mes de octubre de 2016 para el servicio de procesamiento de equipaje y pasajeros y el servicio de embarque y desembarque; y en caso de tener una sentencia definitiva en contra de la Concesionaria para disminuir la deuda del proyecto ya que los ingresos futuros de la Concesionaria serán menores a aquellos que se presupuestaron para dimensionar la capacidad de deuda del proyecto. </w:t>
      </w:r>
    </w:p>
    <w:p w:rsidR="00144A23" w:rsidRDefault="00934DE1" w:rsidP="0085750C">
      <w:pPr>
        <w:pStyle w:val="paragraph"/>
        <w:ind w:left="1080"/>
        <w:jc w:val="both"/>
        <w:textAlignment w:val="baseline"/>
        <w:rPr>
          <w:rStyle w:val="eop"/>
          <w:rFonts w:ascii="Palatino Linotype" w:hAnsi="Palatino Linotype"/>
          <w:sz w:val="22"/>
          <w:szCs w:val="22"/>
        </w:rPr>
      </w:pPr>
      <w:r>
        <w:rPr>
          <w:rStyle w:val="eop"/>
          <w:rFonts w:ascii="Palatino Linotype" w:hAnsi="Palatino Linotype"/>
          <w:sz w:val="22"/>
          <w:szCs w:val="22"/>
        </w:rPr>
        <w:t>Estas garantías funcionan de la siguiente forma: so</w:t>
      </w:r>
      <w:r w:rsidR="000D244F">
        <w:rPr>
          <w:rStyle w:val="eop"/>
          <w:rFonts w:ascii="Palatino Linotype" w:hAnsi="Palatino Linotype"/>
          <w:sz w:val="22"/>
          <w:szCs w:val="22"/>
        </w:rPr>
        <w:t>bre los montos comprometidos por los</w:t>
      </w:r>
      <w:r w:rsidR="00E84A13">
        <w:rPr>
          <w:rStyle w:val="eop"/>
          <w:rFonts w:ascii="Palatino Linotype" w:hAnsi="Palatino Linotype"/>
          <w:sz w:val="22"/>
          <w:szCs w:val="22"/>
        </w:rPr>
        <w:t xml:space="preserve"> accionistas que ascienden a $</w:t>
      </w:r>
      <w:r>
        <w:rPr>
          <w:rStyle w:val="eop"/>
          <w:rFonts w:ascii="Palatino Linotype" w:hAnsi="Palatino Linotype"/>
          <w:sz w:val="22"/>
          <w:szCs w:val="22"/>
        </w:rPr>
        <w:t>18.000 millones más o menos</w:t>
      </w:r>
      <w:r w:rsidR="000D244F">
        <w:rPr>
          <w:rStyle w:val="eop"/>
          <w:rFonts w:ascii="Palatino Linotype" w:hAnsi="Palatino Linotype"/>
          <w:sz w:val="22"/>
          <w:szCs w:val="22"/>
        </w:rPr>
        <w:t>, la sociedad p</w:t>
      </w:r>
      <w:r>
        <w:rPr>
          <w:rStyle w:val="eop"/>
          <w:rFonts w:ascii="Palatino Linotype" w:hAnsi="Palatino Linotype"/>
          <w:sz w:val="22"/>
          <w:szCs w:val="22"/>
        </w:rPr>
        <w:t xml:space="preserve">aga una comisión equivalente al 0,6% </w:t>
      </w:r>
      <w:r w:rsidR="000D244F">
        <w:rPr>
          <w:rStyle w:val="eop"/>
          <w:rFonts w:ascii="Palatino Linotype" w:hAnsi="Palatino Linotype"/>
          <w:sz w:val="22"/>
          <w:szCs w:val="22"/>
        </w:rPr>
        <w:t xml:space="preserve">anuales </w:t>
      </w:r>
      <w:r>
        <w:rPr>
          <w:rStyle w:val="eop"/>
          <w:rFonts w:ascii="Palatino Linotype" w:hAnsi="Palatino Linotype"/>
          <w:sz w:val="22"/>
          <w:szCs w:val="22"/>
        </w:rPr>
        <w:t>de los montos</w:t>
      </w:r>
      <w:r w:rsidR="000D244F">
        <w:rPr>
          <w:rStyle w:val="eop"/>
          <w:rFonts w:ascii="Palatino Linotype" w:hAnsi="Palatino Linotype"/>
          <w:sz w:val="22"/>
          <w:szCs w:val="22"/>
        </w:rPr>
        <w:t xml:space="preserve"> no desembolsados y una tasa de interés del 8% anual sobre los montos efectivamente desembolsados.</w:t>
      </w:r>
      <w:r w:rsidR="00E84A13">
        <w:rPr>
          <w:rStyle w:val="eop"/>
          <w:rFonts w:ascii="Palatino Linotype" w:hAnsi="Palatino Linotype"/>
          <w:sz w:val="22"/>
          <w:szCs w:val="22"/>
        </w:rPr>
        <w:t xml:space="preserve"> A la fecha ya se ha desembolsado un monto aproximado de $ 70 millones por mes</w:t>
      </w:r>
      <w:r w:rsidR="001851D3">
        <w:rPr>
          <w:rStyle w:val="eop"/>
          <w:rFonts w:ascii="Palatino Linotype" w:hAnsi="Palatino Linotype"/>
          <w:sz w:val="22"/>
          <w:szCs w:val="22"/>
        </w:rPr>
        <w:t xml:space="preserve"> y se seguirá desembolsando mensualmente el mismo monto hasta la sentencia definitiva</w:t>
      </w:r>
      <w:r w:rsidR="00E84A13">
        <w:rPr>
          <w:rStyle w:val="eop"/>
          <w:rFonts w:ascii="Palatino Linotype" w:hAnsi="Palatino Linotype"/>
          <w:sz w:val="22"/>
          <w:szCs w:val="22"/>
        </w:rPr>
        <w:t xml:space="preserve"> y en ca</w:t>
      </w:r>
      <w:r w:rsidR="001851D3">
        <w:rPr>
          <w:rStyle w:val="eop"/>
          <w:rFonts w:ascii="Palatino Linotype" w:hAnsi="Palatino Linotype"/>
          <w:sz w:val="22"/>
          <w:szCs w:val="22"/>
        </w:rPr>
        <w:t>s</w:t>
      </w:r>
      <w:r w:rsidR="00E84A13">
        <w:rPr>
          <w:rStyle w:val="eop"/>
          <w:rFonts w:ascii="Palatino Linotype" w:hAnsi="Palatino Linotype"/>
          <w:sz w:val="22"/>
          <w:szCs w:val="22"/>
        </w:rPr>
        <w:t>o de que la Comisión Arbitral sentencie a favor del</w:t>
      </w:r>
      <w:r w:rsidR="001851D3">
        <w:rPr>
          <w:rStyle w:val="eop"/>
          <w:rFonts w:ascii="Palatino Linotype" w:hAnsi="Palatino Linotype"/>
          <w:sz w:val="22"/>
          <w:szCs w:val="22"/>
        </w:rPr>
        <w:t xml:space="preserve"> MOP el monto remanente de los $18.000 millones se tendrá que desembolsar durante la etapa de construcción de las obras hasta la PSP2.</w:t>
      </w:r>
    </w:p>
    <w:p w:rsidR="00327241" w:rsidRDefault="00327241" w:rsidP="00D77EFF">
      <w:pPr>
        <w:pStyle w:val="paragraph"/>
        <w:spacing w:after="0" w:afterAutospacing="0"/>
        <w:ind w:left="1080"/>
        <w:jc w:val="both"/>
        <w:textAlignment w:val="baseline"/>
        <w:rPr>
          <w:rStyle w:val="eop"/>
          <w:rFonts w:ascii="Palatino Linotype" w:hAnsi="Palatino Linotype"/>
          <w:sz w:val="22"/>
          <w:szCs w:val="22"/>
        </w:rPr>
      </w:pPr>
      <w:r>
        <w:rPr>
          <w:rStyle w:val="eop"/>
          <w:rFonts w:ascii="Palatino Linotype" w:hAnsi="Palatino Linotype"/>
          <w:sz w:val="22"/>
          <w:szCs w:val="22"/>
        </w:rPr>
        <w:t>REPREGUNTAS:</w:t>
      </w:r>
    </w:p>
    <w:p w:rsidR="00327241" w:rsidRDefault="00327241" w:rsidP="00D77EFF">
      <w:pPr>
        <w:pStyle w:val="paragraph"/>
        <w:numPr>
          <w:ilvl w:val="0"/>
          <w:numId w:val="20"/>
        </w:numPr>
        <w:spacing w:after="0" w:afterAutospacing="0"/>
        <w:jc w:val="both"/>
        <w:textAlignment w:val="baseline"/>
        <w:rPr>
          <w:rStyle w:val="eop"/>
          <w:rFonts w:ascii="Palatino Linotype" w:hAnsi="Palatino Linotype"/>
          <w:sz w:val="22"/>
          <w:szCs w:val="22"/>
        </w:rPr>
      </w:pPr>
      <w:r>
        <w:rPr>
          <w:rStyle w:val="eop"/>
          <w:rFonts w:ascii="Palatino Linotype" w:hAnsi="Palatino Linotype"/>
          <w:sz w:val="22"/>
          <w:szCs w:val="22"/>
        </w:rPr>
        <w:t>Para que precise el testigo quién exigió el otorgamiento de las garantías y en qué oportunidad.</w:t>
      </w:r>
    </w:p>
    <w:p w:rsidR="00327241" w:rsidRDefault="00327241" w:rsidP="00D77EFF">
      <w:pPr>
        <w:pStyle w:val="paragraph"/>
        <w:spacing w:after="0" w:afterAutospacing="0"/>
        <w:ind w:left="1440"/>
        <w:jc w:val="both"/>
        <w:textAlignment w:val="baseline"/>
        <w:rPr>
          <w:rStyle w:val="eop"/>
          <w:rFonts w:ascii="Palatino Linotype" w:hAnsi="Palatino Linotype"/>
          <w:sz w:val="22"/>
          <w:szCs w:val="22"/>
        </w:rPr>
      </w:pPr>
      <w:r>
        <w:rPr>
          <w:rStyle w:val="eop"/>
          <w:rFonts w:ascii="Palatino Linotype" w:hAnsi="Palatino Linotype"/>
          <w:sz w:val="22"/>
          <w:szCs w:val="22"/>
        </w:rPr>
        <w:t>R: Cuando el MOP nos notificó el 30 de septiembre de 2015</w:t>
      </w:r>
      <w:r w:rsidR="00443768">
        <w:rPr>
          <w:rStyle w:val="eop"/>
          <w:rFonts w:ascii="Palatino Linotype" w:hAnsi="Palatino Linotype"/>
          <w:sz w:val="22"/>
          <w:szCs w:val="22"/>
        </w:rPr>
        <w:t xml:space="preserve"> que existían </w:t>
      </w:r>
      <w:r w:rsidR="008B1E24">
        <w:rPr>
          <w:rStyle w:val="eop"/>
          <w:rFonts w:ascii="Palatino Linotype" w:hAnsi="Palatino Linotype"/>
          <w:sz w:val="22"/>
          <w:szCs w:val="22"/>
        </w:rPr>
        <w:t xml:space="preserve">errores </w:t>
      </w:r>
      <w:r w:rsidR="00B95790">
        <w:rPr>
          <w:rStyle w:val="eop"/>
          <w:rFonts w:ascii="Palatino Linotype" w:hAnsi="Palatino Linotype"/>
          <w:sz w:val="22"/>
          <w:szCs w:val="22"/>
        </w:rPr>
        <w:t xml:space="preserve">en las tarifas tuvimos que informar a los bancos con los cuales estábamos negociando la financiación del proyecto y ellos nos </w:t>
      </w:r>
      <w:r w:rsidR="008E3132">
        <w:rPr>
          <w:rStyle w:val="eop"/>
          <w:rFonts w:ascii="Palatino Linotype" w:hAnsi="Palatino Linotype"/>
          <w:sz w:val="22"/>
          <w:szCs w:val="22"/>
        </w:rPr>
        <w:t>dijeron</w:t>
      </w:r>
      <w:r w:rsidR="00B95790">
        <w:rPr>
          <w:rStyle w:val="eop"/>
          <w:rFonts w:ascii="Palatino Linotype" w:hAnsi="Palatino Linotype"/>
          <w:sz w:val="22"/>
          <w:szCs w:val="22"/>
        </w:rPr>
        <w:t xml:space="preserve"> muy claro que no iban a asumir el riesgo de interpretación de esta discrepancia y </w:t>
      </w:r>
      <w:r w:rsidR="00B95790">
        <w:rPr>
          <w:rStyle w:val="eop"/>
          <w:rFonts w:ascii="Palatino Linotype" w:hAnsi="Palatino Linotype"/>
          <w:sz w:val="22"/>
          <w:szCs w:val="22"/>
        </w:rPr>
        <w:lastRenderedPageBreak/>
        <w:t>que</w:t>
      </w:r>
      <w:r w:rsidR="00044C0C">
        <w:rPr>
          <w:rStyle w:val="eop"/>
          <w:rFonts w:ascii="Palatino Linotype" w:hAnsi="Palatino Linotype"/>
          <w:sz w:val="22"/>
          <w:szCs w:val="22"/>
        </w:rPr>
        <w:t>,</w:t>
      </w:r>
      <w:r w:rsidR="00B95790">
        <w:rPr>
          <w:rStyle w:val="eop"/>
          <w:rFonts w:ascii="Palatino Linotype" w:hAnsi="Palatino Linotype"/>
          <w:sz w:val="22"/>
          <w:szCs w:val="22"/>
        </w:rPr>
        <w:t xml:space="preserve"> por ende, lo tenía</w:t>
      </w:r>
      <w:r w:rsidR="008E3132">
        <w:rPr>
          <w:rStyle w:val="eop"/>
          <w:rFonts w:ascii="Palatino Linotype" w:hAnsi="Palatino Linotype"/>
          <w:sz w:val="22"/>
          <w:szCs w:val="22"/>
        </w:rPr>
        <w:t>n</w:t>
      </w:r>
      <w:r w:rsidR="00B95790">
        <w:rPr>
          <w:rStyle w:val="eop"/>
          <w:rFonts w:ascii="Palatino Linotype" w:hAnsi="Palatino Linotype"/>
          <w:sz w:val="22"/>
          <w:szCs w:val="22"/>
        </w:rPr>
        <w:t xml:space="preserve"> que asumir los accionistas</w:t>
      </w:r>
      <w:r w:rsidR="007C325E">
        <w:rPr>
          <w:rStyle w:val="eop"/>
          <w:rFonts w:ascii="Palatino Linotype" w:hAnsi="Palatino Linotype"/>
          <w:sz w:val="22"/>
          <w:szCs w:val="22"/>
        </w:rPr>
        <w:t>, comprometiendo más capital en caso de un fallo en contra de la Concesionaria.</w:t>
      </w:r>
      <w:r w:rsidR="00044C0C">
        <w:rPr>
          <w:rStyle w:val="eop"/>
          <w:rFonts w:ascii="Palatino Linotype" w:hAnsi="Palatino Linotype"/>
          <w:sz w:val="22"/>
          <w:szCs w:val="22"/>
        </w:rPr>
        <w:t xml:space="preserve"> La oportunidad fue en el proceso de negociación de los contratos de la financiación.</w:t>
      </w:r>
    </w:p>
    <w:p w:rsidR="008E3132" w:rsidRDefault="008E3132" w:rsidP="008E3132">
      <w:pPr>
        <w:pStyle w:val="paragraph"/>
        <w:numPr>
          <w:ilvl w:val="0"/>
          <w:numId w:val="20"/>
        </w:numPr>
        <w:spacing w:after="0" w:afterAutospacing="0"/>
        <w:jc w:val="both"/>
        <w:textAlignment w:val="baseline"/>
        <w:rPr>
          <w:rStyle w:val="eop"/>
          <w:rFonts w:ascii="Palatino Linotype" w:hAnsi="Palatino Linotype"/>
          <w:sz w:val="22"/>
          <w:szCs w:val="22"/>
        </w:rPr>
      </w:pPr>
      <w:r>
        <w:rPr>
          <w:rStyle w:val="eop"/>
          <w:rFonts w:ascii="Palatino Linotype" w:hAnsi="Palatino Linotype"/>
          <w:sz w:val="22"/>
          <w:szCs w:val="22"/>
        </w:rPr>
        <w:t xml:space="preserve">Para que diga el testigo </w:t>
      </w:r>
      <w:r w:rsidR="001457D1">
        <w:rPr>
          <w:rStyle w:val="eop"/>
          <w:rFonts w:ascii="Palatino Linotype" w:hAnsi="Palatino Linotype"/>
          <w:sz w:val="22"/>
          <w:szCs w:val="22"/>
        </w:rPr>
        <w:t>a qué se refiere con “la sociedad” en su respuesta al punto de prueba.</w:t>
      </w:r>
    </w:p>
    <w:p w:rsidR="001457D1" w:rsidRDefault="001457D1" w:rsidP="001457D1">
      <w:pPr>
        <w:pStyle w:val="paragraph"/>
        <w:spacing w:after="0" w:afterAutospacing="0"/>
        <w:ind w:left="1440"/>
        <w:jc w:val="both"/>
        <w:textAlignment w:val="baseline"/>
        <w:rPr>
          <w:rStyle w:val="eop"/>
          <w:rFonts w:ascii="Palatino Linotype" w:hAnsi="Palatino Linotype"/>
          <w:sz w:val="22"/>
          <w:szCs w:val="22"/>
        </w:rPr>
      </w:pPr>
      <w:r>
        <w:rPr>
          <w:rStyle w:val="eop"/>
          <w:rFonts w:ascii="Palatino Linotype" w:hAnsi="Palatino Linotype"/>
          <w:sz w:val="22"/>
          <w:szCs w:val="22"/>
        </w:rPr>
        <w:t>R: Me refiero a la Sociedad Concesionaria (SC).</w:t>
      </w:r>
    </w:p>
    <w:p w:rsidR="001457D1" w:rsidRDefault="001457D1" w:rsidP="001457D1">
      <w:pPr>
        <w:pStyle w:val="paragraph"/>
        <w:numPr>
          <w:ilvl w:val="0"/>
          <w:numId w:val="20"/>
        </w:numPr>
        <w:spacing w:after="0" w:afterAutospacing="0"/>
        <w:jc w:val="both"/>
        <w:textAlignment w:val="baseline"/>
        <w:rPr>
          <w:rStyle w:val="eop"/>
          <w:rFonts w:ascii="Palatino Linotype" w:hAnsi="Palatino Linotype"/>
          <w:sz w:val="22"/>
          <w:szCs w:val="22"/>
        </w:rPr>
      </w:pPr>
      <w:r>
        <w:rPr>
          <w:rStyle w:val="eop"/>
          <w:rFonts w:ascii="Palatino Linotype" w:hAnsi="Palatino Linotype"/>
          <w:sz w:val="22"/>
          <w:szCs w:val="22"/>
        </w:rPr>
        <w:t>Para que diga el testigo si además de los costos indicados en su declaración han existido otros que con ocasión del otorgamiento de la garantía por los accionistas haya debido soportar la SC.</w:t>
      </w:r>
    </w:p>
    <w:p w:rsidR="001457D1" w:rsidRDefault="001457D1" w:rsidP="001457D1">
      <w:pPr>
        <w:pStyle w:val="paragraph"/>
        <w:spacing w:after="0" w:afterAutospacing="0"/>
        <w:ind w:left="1440"/>
        <w:jc w:val="both"/>
        <w:textAlignment w:val="baseline"/>
        <w:rPr>
          <w:rStyle w:val="eop"/>
          <w:rFonts w:ascii="Palatino Linotype" w:hAnsi="Palatino Linotype"/>
          <w:sz w:val="22"/>
          <w:szCs w:val="22"/>
        </w:rPr>
      </w:pPr>
      <w:r>
        <w:rPr>
          <w:rStyle w:val="eop"/>
          <w:rFonts w:ascii="Palatino Linotype" w:hAnsi="Palatino Linotype"/>
          <w:sz w:val="22"/>
          <w:szCs w:val="22"/>
        </w:rPr>
        <w:t xml:space="preserve">R: </w:t>
      </w:r>
      <w:r w:rsidR="00D46525">
        <w:rPr>
          <w:rStyle w:val="eop"/>
          <w:rFonts w:ascii="Palatino Linotype" w:hAnsi="Palatino Linotype"/>
          <w:sz w:val="22"/>
          <w:szCs w:val="22"/>
        </w:rPr>
        <w:t>Cada vez que se realiza un desembolso se emite un pagaré de la SC hacia cada accionista y ese pagaré, de acuerdo con la Ley, tiene que soportar el impuesto de timbres equivalente al 0,8% del monto desembolsado.</w:t>
      </w:r>
    </w:p>
    <w:p w:rsidR="00D46525" w:rsidRDefault="00FA27F3" w:rsidP="00FA27F3">
      <w:pPr>
        <w:pStyle w:val="paragraph"/>
        <w:spacing w:after="0" w:afterAutospacing="0"/>
        <w:jc w:val="both"/>
        <w:textAlignment w:val="baseline"/>
        <w:rPr>
          <w:rStyle w:val="eop"/>
          <w:rFonts w:ascii="Palatino Linotype" w:hAnsi="Palatino Linotype"/>
          <w:sz w:val="22"/>
          <w:szCs w:val="22"/>
        </w:rPr>
      </w:pPr>
      <w:r>
        <w:rPr>
          <w:rStyle w:val="eop"/>
          <w:rFonts w:ascii="Palatino Linotype" w:hAnsi="Palatino Linotype"/>
          <w:sz w:val="22"/>
          <w:szCs w:val="22"/>
        </w:rPr>
        <w:t xml:space="preserve">No se formulan </w:t>
      </w:r>
      <w:proofErr w:type="spellStart"/>
      <w:r>
        <w:rPr>
          <w:rStyle w:val="eop"/>
          <w:rFonts w:ascii="Palatino Linotype" w:hAnsi="Palatino Linotype"/>
          <w:sz w:val="22"/>
          <w:szCs w:val="22"/>
        </w:rPr>
        <w:t>contrainterrogaciones</w:t>
      </w:r>
      <w:proofErr w:type="spellEnd"/>
      <w:r>
        <w:rPr>
          <w:rStyle w:val="eop"/>
          <w:rFonts w:ascii="Palatino Linotype" w:hAnsi="Palatino Linotype"/>
          <w:sz w:val="22"/>
          <w:szCs w:val="22"/>
        </w:rPr>
        <w:t>.</w:t>
      </w:r>
    </w:p>
    <w:p w:rsidR="00FA27F3" w:rsidRDefault="00FA27F3" w:rsidP="00FA27F3">
      <w:pPr>
        <w:pStyle w:val="paragraph"/>
        <w:ind w:left="1080"/>
        <w:jc w:val="both"/>
        <w:textAlignment w:val="baseline"/>
        <w:rPr>
          <w:rStyle w:val="eop"/>
          <w:rFonts w:ascii="Palatino Linotype" w:hAnsi="Palatino Linotype"/>
          <w:sz w:val="22"/>
          <w:szCs w:val="22"/>
        </w:rPr>
      </w:pPr>
      <w:r>
        <w:rPr>
          <w:rStyle w:val="eop"/>
          <w:rFonts w:ascii="Palatino Linotype" w:hAnsi="Palatino Linotype"/>
          <w:sz w:val="22"/>
          <w:szCs w:val="22"/>
        </w:rPr>
        <w:t xml:space="preserve">AL PUNTO 4 DE PRUEBA: </w:t>
      </w:r>
    </w:p>
    <w:p w:rsidR="00FA27F3" w:rsidRDefault="00FA27F3" w:rsidP="00FA27F3">
      <w:pPr>
        <w:pStyle w:val="paragraph"/>
        <w:ind w:left="1080"/>
        <w:jc w:val="both"/>
        <w:textAlignment w:val="baseline"/>
        <w:rPr>
          <w:rStyle w:val="eop"/>
          <w:rFonts w:ascii="Palatino Linotype" w:hAnsi="Palatino Linotype"/>
          <w:sz w:val="22"/>
          <w:szCs w:val="22"/>
        </w:rPr>
      </w:pPr>
      <w:r>
        <w:rPr>
          <w:rStyle w:val="normaltextrun"/>
          <w:rFonts w:ascii="Palatino Linotype" w:hAnsi="Palatino Linotype"/>
          <w:sz w:val="22"/>
          <w:szCs w:val="22"/>
          <w:lang w:val="es-ES"/>
        </w:rPr>
        <w:t>Efectividad que las tarifas establecidas para los servicios regulados han sido informadas al público y si lo han sido, período de tiempo en que dicha información ha estado en conocimiento de los usuarios de los servicios.</w:t>
      </w:r>
      <w:r>
        <w:rPr>
          <w:rStyle w:val="eop"/>
          <w:rFonts w:ascii="Palatino Linotype" w:hAnsi="Palatino Linotype"/>
          <w:sz w:val="22"/>
          <w:szCs w:val="22"/>
        </w:rPr>
        <w:t> </w:t>
      </w:r>
    </w:p>
    <w:p w:rsidR="00FA27F3" w:rsidRDefault="00FA27F3" w:rsidP="00FA27F3">
      <w:pPr>
        <w:pStyle w:val="paragraph"/>
        <w:ind w:left="1080"/>
        <w:jc w:val="both"/>
        <w:textAlignment w:val="baseline"/>
        <w:rPr>
          <w:rStyle w:val="eop"/>
          <w:rFonts w:ascii="Palatino Linotype" w:hAnsi="Palatino Linotype"/>
          <w:sz w:val="22"/>
          <w:szCs w:val="22"/>
        </w:rPr>
      </w:pPr>
      <w:r>
        <w:rPr>
          <w:rStyle w:val="eop"/>
          <w:rFonts w:ascii="Palatino Linotype" w:hAnsi="Palatino Linotype"/>
          <w:sz w:val="22"/>
          <w:szCs w:val="22"/>
        </w:rPr>
        <w:t xml:space="preserve">R: Por BALI tenemos la obligación de publicar las tarifas </w:t>
      </w:r>
      <w:r w:rsidR="002A7FCF">
        <w:rPr>
          <w:rStyle w:val="eop"/>
          <w:rFonts w:ascii="Palatino Linotype" w:hAnsi="Palatino Linotype"/>
          <w:sz w:val="22"/>
          <w:szCs w:val="22"/>
        </w:rPr>
        <w:t>en el sitio web de la SC, la primera publicación se hizo a mediados de septiembre de 2015, después de enviar la segunda carta al MOP informando de las tarifas que íbamos a cobrar a contar del 1 de octubre de 2015. Existe un acta notarial con esta publicación. Después, cada vez que existe una modificación de tarifas se actualiza el sitio web para que el público siempre pueda conocer las tarifas que se cobran en el Aeropuerto.</w:t>
      </w:r>
    </w:p>
    <w:p w:rsidR="00AB0A34" w:rsidRDefault="00AB0A34" w:rsidP="00FA27F3">
      <w:pPr>
        <w:pStyle w:val="paragraph"/>
        <w:ind w:left="1080"/>
        <w:jc w:val="both"/>
        <w:textAlignment w:val="baseline"/>
        <w:rPr>
          <w:rStyle w:val="eop"/>
          <w:rFonts w:ascii="Palatino Linotype" w:hAnsi="Palatino Linotype"/>
          <w:sz w:val="22"/>
          <w:szCs w:val="22"/>
        </w:rPr>
      </w:pPr>
      <w:r>
        <w:rPr>
          <w:rStyle w:val="eop"/>
          <w:rFonts w:ascii="Palatino Linotype" w:hAnsi="Palatino Linotype"/>
          <w:sz w:val="22"/>
          <w:szCs w:val="22"/>
        </w:rPr>
        <w:t>REPREGUNTAS:</w:t>
      </w:r>
    </w:p>
    <w:p w:rsidR="00AB0A34" w:rsidRDefault="00AB0A34" w:rsidP="00AB0A34">
      <w:pPr>
        <w:pStyle w:val="paragraph"/>
        <w:numPr>
          <w:ilvl w:val="0"/>
          <w:numId w:val="23"/>
        </w:numPr>
        <w:jc w:val="both"/>
        <w:textAlignment w:val="baseline"/>
        <w:rPr>
          <w:rStyle w:val="eop"/>
          <w:rFonts w:ascii="Palatino Linotype" w:hAnsi="Palatino Linotype"/>
          <w:sz w:val="22"/>
          <w:szCs w:val="22"/>
        </w:rPr>
      </w:pPr>
      <w:r>
        <w:rPr>
          <w:rStyle w:val="eop"/>
          <w:rFonts w:ascii="Palatino Linotype" w:hAnsi="Palatino Linotype"/>
          <w:sz w:val="22"/>
          <w:szCs w:val="22"/>
        </w:rPr>
        <w:t>Para que diga el testigo si la SC ha recibido alguna multa en relación a la forma en que ha comunicado las tarifas.</w:t>
      </w:r>
    </w:p>
    <w:p w:rsidR="00E24276" w:rsidRDefault="00E24276" w:rsidP="00E24276">
      <w:pPr>
        <w:pStyle w:val="paragraph"/>
        <w:ind w:left="1440"/>
        <w:jc w:val="both"/>
        <w:textAlignment w:val="baseline"/>
        <w:rPr>
          <w:rStyle w:val="eop"/>
          <w:rFonts w:ascii="Palatino Linotype" w:hAnsi="Palatino Linotype"/>
          <w:sz w:val="22"/>
          <w:szCs w:val="22"/>
        </w:rPr>
      </w:pPr>
      <w:r>
        <w:rPr>
          <w:rStyle w:val="eop"/>
          <w:rFonts w:ascii="Palatino Linotype" w:hAnsi="Palatino Linotype"/>
          <w:sz w:val="22"/>
          <w:szCs w:val="22"/>
        </w:rPr>
        <w:t>R: No.</w:t>
      </w:r>
    </w:p>
    <w:p w:rsidR="00E24276" w:rsidRDefault="00E24276" w:rsidP="00E24276">
      <w:pPr>
        <w:pStyle w:val="paragraph"/>
        <w:ind w:left="1440"/>
        <w:jc w:val="both"/>
        <w:textAlignment w:val="baseline"/>
        <w:rPr>
          <w:rStyle w:val="eop"/>
          <w:rFonts w:ascii="Palatino Linotype" w:hAnsi="Palatino Linotype"/>
          <w:sz w:val="22"/>
          <w:szCs w:val="22"/>
        </w:rPr>
      </w:pPr>
    </w:p>
    <w:p w:rsidR="00E24276" w:rsidRDefault="00E24276" w:rsidP="00E24276">
      <w:pPr>
        <w:pStyle w:val="paragraph"/>
        <w:ind w:left="1440"/>
        <w:jc w:val="both"/>
        <w:textAlignment w:val="baseline"/>
        <w:rPr>
          <w:rStyle w:val="eop"/>
          <w:rFonts w:ascii="Palatino Linotype" w:hAnsi="Palatino Linotype"/>
          <w:sz w:val="22"/>
          <w:szCs w:val="22"/>
        </w:rPr>
      </w:pPr>
      <w:r>
        <w:rPr>
          <w:rStyle w:val="eop"/>
          <w:rFonts w:ascii="Palatino Linotype" w:hAnsi="Palatino Linotype"/>
          <w:sz w:val="22"/>
          <w:szCs w:val="22"/>
        </w:rPr>
        <w:lastRenderedPageBreak/>
        <w:t>CONTRAINTERROGACIONES:</w:t>
      </w:r>
    </w:p>
    <w:p w:rsidR="00E24276" w:rsidRDefault="00E24276" w:rsidP="00E24276">
      <w:pPr>
        <w:pStyle w:val="paragraph"/>
        <w:numPr>
          <w:ilvl w:val="0"/>
          <w:numId w:val="24"/>
        </w:numPr>
        <w:jc w:val="both"/>
        <w:textAlignment w:val="baseline"/>
        <w:rPr>
          <w:rStyle w:val="eop"/>
          <w:rFonts w:ascii="Palatino Linotype" w:hAnsi="Palatino Linotype"/>
          <w:sz w:val="22"/>
          <w:szCs w:val="22"/>
        </w:rPr>
      </w:pPr>
      <w:r>
        <w:rPr>
          <w:rStyle w:val="eop"/>
          <w:rFonts w:ascii="Palatino Linotype" w:hAnsi="Palatino Linotype"/>
          <w:sz w:val="22"/>
          <w:szCs w:val="22"/>
        </w:rPr>
        <w:t>Para que diga el testigo si las tarifas publicadas han sido comunicadas al público con el IVA incluido, en caso contrario que explique de qué manera han sido comunicadas con relación al IVA.</w:t>
      </w:r>
    </w:p>
    <w:p w:rsidR="00E24276" w:rsidRDefault="00E24276" w:rsidP="00E24276">
      <w:pPr>
        <w:pStyle w:val="paragraph"/>
        <w:ind w:left="1800"/>
        <w:jc w:val="both"/>
        <w:textAlignment w:val="baseline"/>
        <w:rPr>
          <w:rFonts w:ascii="Palatino Linotype" w:hAnsi="Palatino Linotype"/>
          <w:sz w:val="22"/>
          <w:szCs w:val="22"/>
        </w:rPr>
      </w:pPr>
      <w:r>
        <w:rPr>
          <w:rFonts w:ascii="Palatino Linotype" w:hAnsi="Palatino Linotype"/>
          <w:sz w:val="22"/>
          <w:szCs w:val="22"/>
        </w:rPr>
        <w:t>R: La verdad es que no me acuerdo muy bien, lo que sí me acuerdo es que dejamos muy claro ahí si las tarifas publicadas incluían o no incluían el IVA, de manera que el usuario o el público sepa exactamente lo que se le fuera a cobrar. Según yo, lo que publicamos, fue exactamente las tablas que están en la segunda carta enviada al MOP, pero no estoy seguro.</w:t>
      </w:r>
    </w:p>
    <w:p w:rsidR="002F6780" w:rsidRDefault="002F6780" w:rsidP="00E24276">
      <w:pPr>
        <w:pStyle w:val="paragraph"/>
        <w:ind w:left="1800"/>
        <w:jc w:val="both"/>
        <w:textAlignment w:val="baseline"/>
        <w:rPr>
          <w:rFonts w:ascii="Palatino Linotype" w:hAnsi="Palatino Linotype"/>
          <w:sz w:val="22"/>
          <w:szCs w:val="22"/>
        </w:rPr>
      </w:pPr>
      <w:r>
        <w:rPr>
          <w:rFonts w:ascii="Palatino Linotype" w:hAnsi="Palatino Linotype"/>
          <w:sz w:val="22"/>
          <w:szCs w:val="22"/>
        </w:rPr>
        <w:t xml:space="preserve">Las publicaciones se refieren a todas las tarifas de los servicios que tienen una tarifa regulada, incluyendo los </w:t>
      </w:r>
      <w:proofErr w:type="gramStart"/>
      <w:r>
        <w:rPr>
          <w:rFonts w:ascii="Palatino Linotype" w:hAnsi="Palatino Linotype"/>
          <w:sz w:val="22"/>
          <w:szCs w:val="22"/>
        </w:rPr>
        <w:t>tres objeto</w:t>
      </w:r>
      <w:proofErr w:type="gramEnd"/>
      <w:r>
        <w:rPr>
          <w:rFonts w:ascii="Palatino Linotype" w:hAnsi="Palatino Linotype"/>
          <w:sz w:val="22"/>
          <w:szCs w:val="22"/>
        </w:rPr>
        <w:t xml:space="preserve"> de esta discrepancia.</w:t>
      </w:r>
    </w:p>
    <w:p w:rsidR="002F6780" w:rsidRDefault="002F6780" w:rsidP="002F6780">
      <w:pPr>
        <w:pStyle w:val="paragraph"/>
        <w:ind w:firstLine="708"/>
        <w:jc w:val="both"/>
        <w:textAlignment w:val="baseline"/>
        <w:rPr>
          <w:rFonts w:ascii="Palatino Linotype" w:hAnsi="Palatino Linotype"/>
          <w:sz w:val="22"/>
          <w:szCs w:val="22"/>
        </w:rPr>
      </w:pPr>
      <w:r>
        <w:rPr>
          <w:rFonts w:ascii="Palatino Linotype" w:hAnsi="Palatino Linotype"/>
          <w:sz w:val="22"/>
          <w:szCs w:val="22"/>
        </w:rPr>
        <w:t>AL PUNTO 6 DE PRUEBA:</w:t>
      </w:r>
    </w:p>
    <w:p w:rsidR="002F6780" w:rsidRDefault="002F6780" w:rsidP="002F6780">
      <w:pPr>
        <w:pStyle w:val="paragraph"/>
        <w:ind w:left="1080"/>
        <w:jc w:val="both"/>
        <w:textAlignment w:val="baseline"/>
        <w:rPr>
          <w:rStyle w:val="eop"/>
          <w:rFonts w:ascii="Palatino Linotype" w:hAnsi="Palatino Linotype"/>
          <w:sz w:val="22"/>
          <w:szCs w:val="22"/>
        </w:rPr>
      </w:pPr>
      <w:r>
        <w:rPr>
          <w:rStyle w:val="normaltextrun"/>
          <w:rFonts w:ascii="Palatino Linotype" w:hAnsi="Palatino Linotype"/>
          <w:sz w:val="22"/>
          <w:szCs w:val="22"/>
          <w:lang w:val="es-ES"/>
        </w:rPr>
        <w:t>Valores de tarifas que cobra la Concesionaria y si éstas corresponden a las tarifas máximas que puede percibir, sea incluyendo el IVA o excluyendo dicho impuesto.</w:t>
      </w:r>
      <w:r>
        <w:rPr>
          <w:rStyle w:val="eop"/>
          <w:rFonts w:ascii="Palatino Linotype" w:hAnsi="Palatino Linotype"/>
          <w:sz w:val="22"/>
          <w:szCs w:val="22"/>
        </w:rPr>
        <w:t> </w:t>
      </w:r>
    </w:p>
    <w:p w:rsidR="002F6780" w:rsidRDefault="002F6780" w:rsidP="000D4911">
      <w:pPr>
        <w:pStyle w:val="paragraph"/>
        <w:ind w:left="1080"/>
        <w:jc w:val="both"/>
        <w:textAlignment w:val="baseline"/>
        <w:rPr>
          <w:rStyle w:val="eop"/>
          <w:rFonts w:ascii="Palatino Linotype" w:hAnsi="Palatino Linotype"/>
          <w:sz w:val="22"/>
          <w:szCs w:val="22"/>
        </w:rPr>
      </w:pPr>
      <w:r>
        <w:rPr>
          <w:rStyle w:val="eop"/>
          <w:rFonts w:ascii="Palatino Linotype" w:hAnsi="Palatino Linotype"/>
          <w:sz w:val="22"/>
          <w:szCs w:val="22"/>
        </w:rPr>
        <w:t>R: Para el servicio de estacionamiento público desde el 1 de octubre de 2015 estamos cobrando una tarifa</w:t>
      </w:r>
      <w:r w:rsidR="0023627D">
        <w:rPr>
          <w:rStyle w:val="eop"/>
          <w:rFonts w:ascii="Palatino Linotype" w:hAnsi="Palatino Linotype"/>
          <w:sz w:val="22"/>
          <w:szCs w:val="22"/>
        </w:rPr>
        <w:t xml:space="preserve"> que después de agregarle el IVA</w:t>
      </w:r>
      <w:r>
        <w:rPr>
          <w:rStyle w:val="eop"/>
          <w:rFonts w:ascii="Palatino Linotype" w:hAnsi="Palatino Linotype"/>
          <w:sz w:val="22"/>
          <w:szCs w:val="22"/>
        </w:rPr>
        <w:t xml:space="preserve"> correspondiente da el valor de la tarifa máxima expresada en las BALI. Para el servicio de procesamiento de pasajeros y equipajes</w:t>
      </w:r>
      <w:r w:rsidR="0023627D">
        <w:rPr>
          <w:rStyle w:val="eop"/>
          <w:rFonts w:ascii="Palatino Linotype" w:hAnsi="Palatino Linotype"/>
          <w:sz w:val="22"/>
          <w:szCs w:val="22"/>
        </w:rPr>
        <w:t>, cobramos la tarifa máxima de las BALI más IVA desde octubre de 2015 hasta septiembre de 2016,</w:t>
      </w:r>
      <w:r>
        <w:rPr>
          <w:rStyle w:val="eop"/>
          <w:rFonts w:ascii="Palatino Linotype" w:hAnsi="Palatino Linotype"/>
          <w:sz w:val="22"/>
          <w:szCs w:val="22"/>
        </w:rPr>
        <w:t xml:space="preserve"> </w:t>
      </w:r>
      <w:r w:rsidR="0023627D">
        <w:rPr>
          <w:rStyle w:val="eop"/>
          <w:rFonts w:ascii="Palatino Linotype" w:hAnsi="Palatino Linotype"/>
          <w:sz w:val="22"/>
          <w:szCs w:val="22"/>
        </w:rPr>
        <w:t>y a contar de octubre de 2016 ajustamos la tarifa para que después de agregarle el IVA diera el valor de tarifa máxima que establecen las BALI. Para e</w:t>
      </w:r>
      <w:r>
        <w:rPr>
          <w:rStyle w:val="eop"/>
          <w:rFonts w:ascii="Palatino Linotype" w:hAnsi="Palatino Linotype"/>
          <w:sz w:val="22"/>
          <w:szCs w:val="22"/>
        </w:rPr>
        <w:t>l servicio de embarque y desembarque cobramos la tarifa máxima de las BALI</w:t>
      </w:r>
      <w:r w:rsidR="0023627D">
        <w:rPr>
          <w:rStyle w:val="eop"/>
          <w:rFonts w:ascii="Palatino Linotype" w:hAnsi="Palatino Linotype"/>
          <w:sz w:val="22"/>
          <w:szCs w:val="22"/>
        </w:rPr>
        <w:t xml:space="preserve"> más IVA desde el mes de enero de 2016, entre octubre de 2015 y diciembre de 2015 cobramos menos para que les fuera menos doloroso a las aerolíneas</w:t>
      </w:r>
      <w:r>
        <w:rPr>
          <w:rStyle w:val="eop"/>
          <w:rFonts w:ascii="Palatino Linotype" w:hAnsi="Palatino Linotype"/>
          <w:sz w:val="22"/>
          <w:szCs w:val="22"/>
        </w:rPr>
        <w:t>.</w:t>
      </w:r>
      <w:r w:rsidR="0023627D">
        <w:rPr>
          <w:rStyle w:val="eop"/>
          <w:rFonts w:ascii="Palatino Linotype" w:hAnsi="Palatino Linotype"/>
          <w:sz w:val="22"/>
          <w:szCs w:val="22"/>
        </w:rPr>
        <w:t xml:space="preserve"> A contar de octubre de 2016</w:t>
      </w:r>
      <w:r w:rsidR="000D4911">
        <w:rPr>
          <w:rStyle w:val="eop"/>
          <w:rFonts w:ascii="Palatino Linotype" w:hAnsi="Palatino Linotype"/>
          <w:sz w:val="22"/>
          <w:szCs w:val="22"/>
        </w:rPr>
        <w:t xml:space="preserve"> ajustamos las tarifas para que después de agregarle el IVA diera el valor de tarifa máxima que establecen las BALI. Para todos los demás servicios que no están afectos a IVA siempre hemos cobrado la tarifa máxima.</w:t>
      </w:r>
    </w:p>
    <w:p w:rsidR="00585BE7" w:rsidRDefault="00585BE7" w:rsidP="000D4911">
      <w:pPr>
        <w:pStyle w:val="paragraph"/>
        <w:ind w:left="1080"/>
        <w:jc w:val="both"/>
        <w:textAlignment w:val="baseline"/>
        <w:rPr>
          <w:rStyle w:val="eop"/>
          <w:rFonts w:ascii="Palatino Linotype" w:hAnsi="Palatino Linotype"/>
          <w:sz w:val="22"/>
          <w:szCs w:val="22"/>
        </w:rPr>
      </w:pPr>
      <w:r>
        <w:rPr>
          <w:rStyle w:val="eop"/>
          <w:rFonts w:ascii="Palatino Linotype" w:hAnsi="Palatino Linotype"/>
          <w:sz w:val="22"/>
          <w:szCs w:val="22"/>
        </w:rPr>
        <w:t>REPREGUNTAS:</w:t>
      </w:r>
    </w:p>
    <w:p w:rsidR="00585BE7" w:rsidRDefault="00585BE7" w:rsidP="00585BE7">
      <w:pPr>
        <w:pStyle w:val="paragraph"/>
        <w:numPr>
          <w:ilvl w:val="0"/>
          <w:numId w:val="26"/>
        </w:numPr>
        <w:jc w:val="both"/>
        <w:textAlignment w:val="baseline"/>
        <w:rPr>
          <w:rStyle w:val="eop"/>
          <w:rFonts w:ascii="Palatino Linotype" w:hAnsi="Palatino Linotype"/>
          <w:sz w:val="22"/>
          <w:szCs w:val="22"/>
        </w:rPr>
      </w:pPr>
      <w:r>
        <w:rPr>
          <w:rStyle w:val="eop"/>
          <w:rFonts w:ascii="Palatino Linotype" w:hAnsi="Palatino Linotype"/>
          <w:sz w:val="22"/>
          <w:szCs w:val="22"/>
        </w:rPr>
        <w:t>Para que explique el testigo las razones de la SC para cobrar las tarifas a que se ha referido en cada período mencionado.</w:t>
      </w:r>
    </w:p>
    <w:p w:rsidR="00585BE7" w:rsidRDefault="00585BE7" w:rsidP="00585BE7">
      <w:pPr>
        <w:pStyle w:val="paragraph"/>
        <w:ind w:left="1440"/>
        <w:jc w:val="both"/>
        <w:textAlignment w:val="baseline"/>
        <w:rPr>
          <w:rStyle w:val="eop"/>
          <w:rFonts w:ascii="Palatino Linotype" w:hAnsi="Palatino Linotype"/>
          <w:sz w:val="22"/>
          <w:szCs w:val="22"/>
        </w:rPr>
      </w:pPr>
      <w:r>
        <w:rPr>
          <w:rStyle w:val="eop"/>
          <w:rFonts w:ascii="Palatino Linotype" w:hAnsi="Palatino Linotype"/>
          <w:sz w:val="22"/>
          <w:szCs w:val="22"/>
        </w:rPr>
        <w:lastRenderedPageBreak/>
        <w:t>R: Para el servicio de estacionamiento me remito a lo dicho en el punto de prueba 2. Para los servicios de procesamiento de pasajeros y equipajes y de embarque y desembarque estuvimos cobrando hasta octubre de 2016 la tarifa máxima más IVA (salvo para embarque y desembarque en el cuarto trimestre de 2015) porque confiábamos en nuestra interpretación de la regulación</w:t>
      </w:r>
      <w:r w:rsidR="002E2222">
        <w:rPr>
          <w:rStyle w:val="eop"/>
          <w:rFonts w:ascii="Palatino Linotype" w:hAnsi="Palatino Linotype"/>
          <w:sz w:val="22"/>
          <w:szCs w:val="22"/>
        </w:rPr>
        <w:t xml:space="preserve"> y no queríamos dejar de cobrar lo máximo permitido por el Contrato de Concesión.</w:t>
      </w:r>
    </w:p>
    <w:p w:rsidR="002A4D28" w:rsidRDefault="002A4D28" w:rsidP="00585BE7">
      <w:pPr>
        <w:pStyle w:val="paragraph"/>
        <w:ind w:left="1440"/>
        <w:jc w:val="both"/>
        <w:textAlignment w:val="baseline"/>
        <w:rPr>
          <w:rStyle w:val="eop"/>
          <w:rFonts w:ascii="Palatino Linotype" w:hAnsi="Palatino Linotype"/>
          <w:sz w:val="22"/>
          <w:szCs w:val="22"/>
        </w:rPr>
      </w:pPr>
      <w:r>
        <w:rPr>
          <w:rStyle w:val="eop"/>
          <w:rFonts w:ascii="Palatino Linotype" w:hAnsi="Palatino Linotype"/>
          <w:sz w:val="22"/>
          <w:szCs w:val="22"/>
        </w:rPr>
        <w:t>A contar de octubre de 2016, luego de la resolución del DGOP congelamos la facturación durante casi un año para los dos servicios antes mencionados y en octubre de 2017 nos vimos obligados a ajustar las tarifas ya que el MOP no había aceptado la recomendación del Panel y que no podíamos seguir sin facturar servicios prestados desde hacía más de un año.</w:t>
      </w:r>
    </w:p>
    <w:p w:rsidR="009104D5" w:rsidRDefault="009104D5" w:rsidP="009104D5">
      <w:pPr>
        <w:pStyle w:val="paragraph"/>
        <w:numPr>
          <w:ilvl w:val="0"/>
          <w:numId w:val="26"/>
        </w:numPr>
        <w:jc w:val="both"/>
        <w:textAlignment w:val="baseline"/>
        <w:rPr>
          <w:rStyle w:val="eop"/>
          <w:rFonts w:ascii="Palatino Linotype" w:hAnsi="Palatino Linotype"/>
          <w:sz w:val="22"/>
          <w:szCs w:val="22"/>
        </w:rPr>
      </w:pPr>
      <w:r>
        <w:rPr>
          <w:rStyle w:val="eop"/>
          <w:rFonts w:ascii="Palatino Linotype" w:hAnsi="Palatino Linotype"/>
          <w:sz w:val="22"/>
          <w:szCs w:val="22"/>
        </w:rPr>
        <w:t>Para que diga el testigo por qué estaba obligado a ajustar la tarifa y el riesgo de no hacerlo.</w:t>
      </w:r>
    </w:p>
    <w:p w:rsidR="009104D5" w:rsidRDefault="009104D5" w:rsidP="009104D5">
      <w:pPr>
        <w:pStyle w:val="paragraph"/>
        <w:ind w:left="1440"/>
        <w:jc w:val="both"/>
        <w:textAlignment w:val="baseline"/>
        <w:rPr>
          <w:rStyle w:val="eop"/>
          <w:rFonts w:ascii="Palatino Linotype" w:hAnsi="Palatino Linotype"/>
          <w:sz w:val="22"/>
          <w:szCs w:val="22"/>
        </w:rPr>
      </w:pPr>
      <w:r>
        <w:rPr>
          <w:rStyle w:val="eop"/>
          <w:rFonts w:ascii="Palatino Linotype" w:hAnsi="Palatino Linotype"/>
          <w:sz w:val="22"/>
          <w:szCs w:val="22"/>
        </w:rPr>
        <w:t>R: Estuvimos obligados a ajustar las tarifas porque no podíamos seguir sin cobrar servicios prestados desde hacía mucho tiempo, las aerolíneas nos reclamaban por cuestiones de contabilidad y arriesgábamos a que se fuera o quebrara una aerolínea por eso decidimos volver a iniciar la facturación, sin embargo dada la instrucción del DGOP seguir cobrando tarifa máxima más IVA nos podía gatillar sanciones muy drásticas bajo el Contrato de Concesión, como la terminación del Contrato por Incumplimiento.</w:t>
      </w:r>
    </w:p>
    <w:p w:rsidR="002F6780" w:rsidRDefault="00F54D5D" w:rsidP="00F13222">
      <w:pPr>
        <w:pStyle w:val="paragraph"/>
        <w:ind w:left="360" w:firstLine="708"/>
        <w:jc w:val="both"/>
        <w:textAlignment w:val="baseline"/>
        <w:rPr>
          <w:rFonts w:ascii="Palatino Linotype" w:hAnsi="Palatino Linotype"/>
          <w:sz w:val="22"/>
          <w:szCs w:val="22"/>
        </w:rPr>
      </w:pPr>
      <w:r>
        <w:rPr>
          <w:rFonts w:ascii="Palatino Linotype" w:hAnsi="Palatino Linotype"/>
          <w:sz w:val="22"/>
          <w:szCs w:val="22"/>
        </w:rPr>
        <w:t>CONTRAINTERROGACIONES:</w:t>
      </w:r>
    </w:p>
    <w:p w:rsidR="00F54D5D" w:rsidRDefault="00F54D5D" w:rsidP="00F54D5D">
      <w:pPr>
        <w:pStyle w:val="paragraph"/>
        <w:numPr>
          <w:ilvl w:val="0"/>
          <w:numId w:val="27"/>
        </w:numPr>
        <w:jc w:val="both"/>
        <w:textAlignment w:val="baseline"/>
        <w:rPr>
          <w:rFonts w:ascii="Palatino Linotype" w:hAnsi="Palatino Linotype"/>
          <w:sz w:val="22"/>
          <w:szCs w:val="22"/>
        </w:rPr>
      </w:pPr>
      <w:r>
        <w:rPr>
          <w:rFonts w:ascii="Palatino Linotype" w:hAnsi="Palatino Linotype"/>
          <w:sz w:val="22"/>
          <w:szCs w:val="22"/>
        </w:rPr>
        <w:t>Para que diga el testigo si hubo una instrucción de parte del MOP en orden a dejar de cobrar los servicios mencionados en su respuesta, los que señala no habrían sido facturados durante un año.</w:t>
      </w:r>
    </w:p>
    <w:p w:rsidR="00F54D5D" w:rsidRDefault="00F54D5D" w:rsidP="00F13222">
      <w:pPr>
        <w:pStyle w:val="paragraph"/>
        <w:ind w:left="1416"/>
        <w:jc w:val="both"/>
        <w:textAlignment w:val="baseline"/>
        <w:rPr>
          <w:rFonts w:ascii="Palatino Linotype" w:hAnsi="Palatino Linotype"/>
          <w:sz w:val="22"/>
          <w:szCs w:val="22"/>
        </w:rPr>
      </w:pPr>
      <w:r>
        <w:rPr>
          <w:rFonts w:ascii="Palatino Linotype" w:hAnsi="Palatino Linotype"/>
          <w:sz w:val="22"/>
          <w:szCs w:val="22"/>
        </w:rPr>
        <w:t>R: No hubo instrucción formal del MOP en este sentido, tampoco hubo una instrucción contraria.</w:t>
      </w:r>
    </w:p>
    <w:p w:rsidR="00F54D5D" w:rsidRDefault="00F54D5D" w:rsidP="00F13222">
      <w:pPr>
        <w:pStyle w:val="paragraph"/>
        <w:ind w:firstLine="708"/>
        <w:jc w:val="both"/>
        <w:textAlignment w:val="baseline"/>
        <w:rPr>
          <w:rFonts w:ascii="Palatino Linotype" w:hAnsi="Palatino Linotype"/>
          <w:sz w:val="22"/>
          <w:szCs w:val="22"/>
        </w:rPr>
      </w:pPr>
      <w:r>
        <w:rPr>
          <w:rFonts w:ascii="Palatino Linotype" w:hAnsi="Palatino Linotype"/>
          <w:sz w:val="22"/>
          <w:szCs w:val="22"/>
        </w:rPr>
        <w:t>AL PUNTO 8 DE PRUEBA:</w:t>
      </w:r>
    </w:p>
    <w:p w:rsidR="00F54D5D" w:rsidRDefault="00F54D5D" w:rsidP="00F54D5D">
      <w:pPr>
        <w:pStyle w:val="paragraph"/>
        <w:ind w:left="1080"/>
        <w:jc w:val="both"/>
        <w:textAlignment w:val="baseline"/>
        <w:rPr>
          <w:rFonts w:ascii="Palatino Linotype" w:hAnsi="Palatino Linotype"/>
          <w:sz w:val="22"/>
          <w:szCs w:val="22"/>
        </w:rPr>
      </w:pPr>
      <w:r>
        <w:rPr>
          <w:rStyle w:val="normaltextrun"/>
          <w:rFonts w:ascii="Palatino Linotype" w:hAnsi="Palatino Linotype"/>
          <w:sz w:val="22"/>
          <w:szCs w:val="22"/>
          <w:lang w:val="es-ES"/>
        </w:rPr>
        <w:t>Fundamentos de los hechos y justificación económica de los valores demandados correspondientes a:</w:t>
      </w:r>
      <w:r>
        <w:rPr>
          <w:rStyle w:val="eop"/>
          <w:rFonts w:ascii="Palatino Linotype" w:hAnsi="Palatino Linotype"/>
          <w:sz w:val="22"/>
          <w:szCs w:val="22"/>
        </w:rPr>
        <w:t> </w:t>
      </w:r>
    </w:p>
    <w:p w:rsidR="00F54D5D" w:rsidRDefault="00F54D5D" w:rsidP="00F54D5D">
      <w:pPr>
        <w:pStyle w:val="paragraph"/>
        <w:numPr>
          <w:ilvl w:val="0"/>
          <w:numId w:val="29"/>
        </w:numPr>
        <w:jc w:val="both"/>
        <w:textAlignment w:val="baseline"/>
        <w:rPr>
          <w:rStyle w:val="eop"/>
          <w:rFonts w:ascii="Palatino Linotype" w:hAnsi="Palatino Linotype"/>
          <w:sz w:val="22"/>
          <w:szCs w:val="22"/>
        </w:rPr>
      </w:pPr>
      <w:r>
        <w:rPr>
          <w:rStyle w:val="normaltextrun"/>
          <w:rFonts w:ascii="Palatino Linotype" w:hAnsi="Palatino Linotype"/>
          <w:sz w:val="22"/>
          <w:szCs w:val="22"/>
          <w:lang w:val="es-ES"/>
        </w:rPr>
        <w:t>Perjuicios financieros por cobro tardío de tarifas.</w:t>
      </w:r>
      <w:r>
        <w:rPr>
          <w:rStyle w:val="eop"/>
          <w:rFonts w:ascii="Palatino Linotype" w:hAnsi="Palatino Linotype"/>
          <w:sz w:val="22"/>
          <w:szCs w:val="22"/>
        </w:rPr>
        <w:t> </w:t>
      </w:r>
    </w:p>
    <w:p w:rsidR="00F54D5D" w:rsidRDefault="00F54D5D" w:rsidP="00F54D5D">
      <w:pPr>
        <w:pStyle w:val="paragraph"/>
        <w:ind w:left="720"/>
        <w:jc w:val="both"/>
        <w:textAlignment w:val="baseline"/>
      </w:pPr>
      <w:r>
        <w:rPr>
          <w:rStyle w:val="normaltextrun"/>
          <w:rFonts w:ascii="Palatino Linotype" w:hAnsi="Palatino Linotype"/>
          <w:sz w:val="22"/>
          <w:szCs w:val="22"/>
          <w:lang w:val="es-ES"/>
        </w:rPr>
        <w:lastRenderedPageBreak/>
        <w:t>b) Perjuicios derivados de la imposición del cobro de una tarifa inferior a la autorizada por el Contrato de Concesión que pretendía aplicar la Concesionaria, por concepto de servicios de estacionamiento, embarque y desembarque y procesamiento de pasajeros y equipaje.</w:t>
      </w:r>
      <w:r>
        <w:rPr>
          <w:rStyle w:val="eop"/>
          <w:rFonts w:ascii="Palatino Linotype" w:hAnsi="Palatino Linotype"/>
          <w:sz w:val="22"/>
          <w:szCs w:val="22"/>
        </w:rPr>
        <w:t> </w:t>
      </w:r>
    </w:p>
    <w:p w:rsidR="00F54D5D" w:rsidRDefault="00F54D5D" w:rsidP="00F54D5D">
      <w:pPr>
        <w:pStyle w:val="paragraph"/>
        <w:ind w:left="720"/>
        <w:jc w:val="both"/>
        <w:textAlignment w:val="baseline"/>
      </w:pPr>
      <w:r>
        <w:rPr>
          <w:rStyle w:val="normaltextrun"/>
          <w:rFonts w:ascii="Palatino Linotype" w:hAnsi="Palatino Linotype"/>
          <w:sz w:val="22"/>
          <w:szCs w:val="22"/>
          <w:lang w:val="es-ES"/>
        </w:rPr>
        <w:t>c) Perjuicios por costos asociados al otorgamiento de garantías a los acreedores de la Concesionaria.</w:t>
      </w:r>
      <w:r>
        <w:rPr>
          <w:rStyle w:val="eop"/>
          <w:rFonts w:ascii="Palatino Linotype" w:hAnsi="Palatino Linotype"/>
          <w:sz w:val="22"/>
          <w:szCs w:val="22"/>
        </w:rPr>
        <w:t> </w:t>
      </w:r>
    </w:p>
    <w:p w:rsidR="00F54D5D" w:rsidRDefault="00F54D5D" w:rsidP="00F54D5D">
      <w:pPr>
        <w:pStyle w:val="paragraph"/>
        <w:ind w:left="720"/>
        <w:jc w:val="both"/>
        <w:textAlignment w:val="baseline"/>
      </w:pPr>
      <w:r>
        <w:rPr>
          <w:rStyle w:val="eop"/>
          <w:rFonts w:ascii="Palatino Linotype" w:hAnsi="Palatino Linotype"/>
          <w:sz w:val="22"/>
          <w:szCs w:val="22"/>
        </w:rPr>
        <w:t> </w:t>
      </w:r>
      <w:r>
        <w:rPr>
          <w:rStyle w:val="normaltextrun"/>
          <w:rFonts w:ascii="Palatino Linotype" w:hAnsi="Palatino Linotype"/>
          <w:sz w:val="22"/>
          <w:szCs w:val="22"/>
          <w:lang w:val="es-ES"/>
        </w:rPr>
        <w:t>d) Perjuicios por costos legales vinculados a la tramitación de la discrepancia ante el Panel Técnico</w:t>
      </w:r>
      <w:r>
        <w:rPr>
          <w:rStyle w:val="normaltextrun"/>
          <w:rFonts w:ascii="Palatino Linotype" w:hAnsi="Palatino Linotype"/>
          <w:sz w:val="22"/>
          <w:szCs w:val="22"/>
        </w:rPr>
        <w:t xml:space="preserve"> y negociación de la garantía exigida por los accionistas de la actora.</w:t>
      </w:r>
      <w:r>
        <w:rPr>
          <w:rStyle w:val="eop"/>
          <w:rFonts w:ascii="Palatino Linotype" w:hAnsi="Palatino Linotype"/>
          <w:sz w:val="22"/>
          <w:szCs w:val="22"/>
        </w:rPr>
        <w:t> </w:t>
      </w:r>
    </w:p>
    <w:p w:rsidR="00D1357F" w:rsidRDefault="00436EC4" w:rsidP="00F13222">
      <w:pPr>
        <w:pStyle w:val="paragraph"/>
        <w:ind w:firstLine="708"/>
        <w:jc w:val="both"/>
        <w:textAlignment w:val="baseline"/>
        <w:rPr>
          <w:rFonts w:ascii="Palatino Linotype" w:hAnsi="Palatino Linotype"/>
          <w:sz w:val="22"/>
          <w:szCs w:val="22"/>
        </w:rPr>
      </w:pPr>
      <w:r>
        <w:rPr>
          <w:rFonts w:ascii="Palatino Linotype" w:hAnsi="Palatino Linotype"/>
          <w:sz w:val="22"/>
          <w:szCs w:val="22"/>
        </w:rPr>
        <w:t xml:space="preserve">Responde el testigo: </w:t>
      </w:r>
      <w:r w:rsidR="00F54D5D">
        <w:rPr>
          <w:rFonts w:ascii="Palatino Linotype" w:hAnsi="Palatino Linotype"/>
          <w:sz w:val="22"/>
          <w:szCs w:val="22"/>
        </w:rPr>
        <w:t>En relación</w:t>
      </w:r>
      <w:r>
        <w:rPr>
          <w:rFonts w:ascii="Palatino Linotype" w:hAnsi="Palatino Linotype"/>
          <w:sz w:val="22"/>
          <w:szCs w:val="22"/>
        </w:rPr>
        <w:t xml:space="preserve"> a la letra b) con respecto al servicio de estacionamiento público nos vimos forzados a ajustar las tarifas que pretendíamos cobrar con el fin de evitar un conflicto mayor con el señor Ministro de OO.PP., por lo tanto, desde octubre de 2015 a la fecha, estamos recibiendo el 19% menos de ventas por este servicio. En cuanto a los servicios de procesamiento de pasajeros y equipajes y de embarque y desembarque tenemos el mismo perjuicio del 19%, pero a contar de los servicios prestados en octubre de 2016 ya que antes cobramos tarifa máxima más IVA.</w:t>
      </w:r>
    </w:p>
    <w:p w:rsidR="00747AD5" w:rsidRDefault="00D1357F" w:rsidP="00F13222">
      <w:pPr>
        <w:pStyle w:val="paragraph"/>
        <w:ind w:firstLine="708"/>
        <w:jc w:val="both"/>
        <w:textAlignment w:val="baseline"/>
        <w:rPr>
          <w:rFonts w:ascii="Palatino Linotype" w:hAnsi="Palatino Linotype"/>
          <w:sz w:val="22"/>
          <w:szCs w:val="22"/>
        </w:rPr>
      </w:pPr>
      <w:r>
        <w:rPr>
          <w:rFonts w:ascii="Palatino Linotype" w:hAnsi="Palatino Linotype"/>
          <w:sz w:val="22"/>
          <w:szCs w:val="22"/>
        </w:rPr>
        <w:t>En relación a la letra a) como lo expliqué en el punto de prueba anterior, tuvimos que congelar la facturación de los servicios de procesamiento de pasajeros y equipajes y de embarque y desembarque durante un año</w:t>
      </w:r>
      <w:r w:rsidR="00DD7D0A">
        <w:rPr>
          <w:rFonts w:ascii="Palatino Linotype" w:hAnsi="Palatino Linotype"/>
          <w:sz w:val="22"/>
          <w:szCs w:val="22"/>
        </w:rPr>
        <w:t>, lo que ha generado un costo financiero importante para la SC al cobrar ingresos más tarde de lo que se tenía pensado.</w:t>
      </w:r>
    </w:p>
    <w:p w:rsidR="00747AD5" w:rsidRDefault="00747AD5" w:rsidP="00F13222">
      <w:pPr>
        <w:pStyle w:val="paragraph"/>
        <w:ind w:firstLine="708"/>
        <w:jc w:val="both"/>
        <w:textAlignment w:val="baseline"/>
        <w:rPr>
          <w:rFonts w:ascii="Palatino Linotype" w:hAnsi="Palatino Linotype"/>
          <w:sz w:val="22"/>
          <w:szCs w:val="22"/>
        </w:rPr>
      </w:pPr>
      <w:r>
        <w:rPr>
          <w:rFonts w:ascii="Palatino Linotype" w:hAnsi="Palatino Linotype"/>
          <w:sz w:val="22"/>
          <w:szCs w:val="22"/>
        </w:rPr>
        <w:t>En relación con la letra c) me remito a lo ya dicho en el punto de prueba 3.</w:t>
      </w:r>
    </w:p>
    <w:p w:rsidR="00F54D5D" w:rsidRDefault="00747AD5" w:rsidP="00F13222">
      <w:pPr>
        <w:pStyle w:val="paragraph"/>
        <w:ind w:firstLine="708"/>
        <w:jc w:val="both"/>
        <w:textAlignment w:val="baseline"/>
        <w:rPr>
          <w:rFonts w:ascii="Palatino Linotype" w:hAnsi="Palatino Linotype"/>
          <w:sz w:val="22"/>
          <w:szCs w:val="22"/>
        </w:rPr>
      </w:pPr>
      <w:r>
        <w:rPr>
          <w:rFonts w:ascii="Palatino Linotype" w:hAnsi="Palatino Linotype"/>
          <w:sz w:val="22"/>
          <w:szCs w:val="22"/>
        </w:rPr>
        <w:t>En relación a la letra d) la SC incurrió en gastos legales importantes para tramitar esta discrepancia ante el Panel Técnico y la Comisión Arbitral. Quisiera precisar que no solicitamos en el marco de esta discrepancia perjuicios por gastos legales incurridos en el marco de la negociación de las garantías con los bancos.</w:t>
      </w:r>
    </w:p>
    <w:p w:rsidR="00F006D4" w:rsidRDefault="00F006D4" w:rsidP="00F13222">
      <w:pPr>
        <w:pStyle w:val="paragraph"/>
        <w:ind w:firstLine="708"/>
        <w:jc w:val="both"/>
        <w:textAlignment w:val="baseline"/>
        <w:rPr>
          <w:rFonts w:ascii="Palatino Linotype" w:hAnsi="Palatino Linotype"/>
          <w:sz w:val="22"/>
          <w:szCs w:val="22"/>
        </w:rPr>
      </w:pPr>
      <w:r>
        <w:rPr>
          <w:rFonts w:ascii="Palatino Linotype" w:hAnsi="Palatino Linotype"/>
          <w:sz w:val="22"/>
          <w:szCs w:val="22"/>
        </w:rPr>
        <w:t>REPREGUNTAS:</w:t>
      </w:r>
    </w:p>
    <w:p w:rsidR="00F54D5D" w:rsidRDefault="00F006D4" w:rsidP="00F006D4">
      <w:pPr>
        <w:pStyle w:val="paragraph"/>
        <w:numPr>
          <w:ilvl w:val="0"/>
          <w:numId w:val="30"/>
        </w:numPr>
        <w:jc w:val="both"/>
        <w:textAlignment w:val="baseline"/>
        <w:rPr>
          <w:rFonts w:ascii="Palatino Linotype" w:hAnsi="Palatino Linotype"/>
          <w:sz w:val="22"/>
          <w:szCs w:val="22"/>
        </w:rPr>
      </w:pPr>
      <w:r>
        <w:rPr>
          <w:rFonts w:ascii="Palatino Linotype" w:hAnsi="Palatino Linotype"/>
          <w:sz w:val="22"/>
          <w:szCs w:val="22"/>
        </w:rPr>
        <w:t>En relación a la letra b), para que aclare por qué habla de un menor ingreso y de un perjuicio ascendente al 19%.</w:t>
      </w:r>
    </w:p>
    <w:p w:rsidR="00F006D4" w:rsidRDefault="00F006D4" w:rsidP="00F006D4">
      <w:pPr>
        <w:pStyle w:val="paragraph"/>
        <w:ind w:left="1428"/>
        <w:jc w:val="both"/>
        <w:textAlignment w:val="baseline"/>
        <w:rPr>
          <w:rFonts w:ascii="Palatino Linotype" w:hAnsi="Palatino Linotype"/>
          <w:sz w:val="22"/>
          <w:szCs w:val="22"/>
        </w:rPr>
      </w:pPr>
      <w:r>
        <w:rPr>
          <w:rFonts w:ascii="Palatino Linotype" w:hAnsi="Palatino Linotype"/>
          <w:sz w:val="22"/>
          <w:szCs w:val="22"/>
        </w:rPr>
        <w:t xml:space="preserve">R: Según la interpretación </w:t>
      </w:r>
      <w:r w:rsidR="00692D04">
        <w:rPr>
          <w:rFonts w:ascii="Palatino Linotype" w:hAnsi="Palatino Linotype"/>
          <w:sz w:val="22"/>
          <w:szCs w:val="22"/>
        </w:rPr>
        <w:t>de la SC tenemos el derecho de cobrar las tarifas máximas más IVA. Según la interpretación del MOP las tarifas más el IVA correspondiente no pueden superar los valores de tarifa</w:t>
      </w:r>
      <w:r w:rsidR="00762B8D">
        <w:rPr>
          <w:rFonts w:ascii="Palatino Linotype" w:hAnsi="Palatino Linotype"/>
          <w:sz w:val="22"/>
          <w:szCs w:val="22"/>
        </w:rPr>
        <w:t>s</w:t>
      </w:r>
      <w:r w:rsidR="00692D04">
        <w:rPr>
          <w:rFonts w:ascii="Palatino Linotype" w:hAnsi="Palatino Linotype"/>
          <w:sz w:val="22"/>
          <w:szCs w:val="22"/>
        </w:rPr>
        <w:t xml:space="preserve"> máxima</w:t>
      </w:r>
      <w:r w:rsidR="00762B8D">
        <w:rPr>
          <w:rFonts w:ascii="Palatino Linotype" w:hAnsi="Palatino Linotype"/>
          <w:sz w:val="22"/>
          <w:szCs w:val="22"/>
        </w:rPr>
        <w:t>s</w:t>
      </w:r>
      <w:r w:rsidR="00692D04">
        <w:rPr>
          <w:rFonts w:ascii="Palatino Linotype" w:hAnsi="Palatino Linotype"/>
          <w:sz w:val="22"/>
          <w:szCs w:val="22"/>
        </w:rPr>
        <w:t xml:space="preserve"> establecidas en las BALI, por lo tanto</w:t>
      </w:r>
      <w:r w:rsidR="00762B8D">
        <w:rPr>
          <w:rFonts w:ascii="Palatino Linotype" w:hAnsi="Palatino Linotype"/>
          <w:sz w:val="22"/>
          <w:szCs w:val="22"/>
        </w:rPr>
        <w:t>,</w:t>
      </w:r>
      <w:r w:rsidR="00692D04">
        <w:rPr>
          <w:rFonts w:ascii="Palatino Linotype" w:hAnsi="Palatino Linotype"/>
          <w:sz w:val="22"/>
          <w:szCs w:val="22"/>
        </w:rPr>
        <w:t xml:space="preserve"> al estar obligados a cobrar de acuerdo a la </w:t>
      </w:r>
      <w:r w:rsidR="00692D04">
        <w:rPr>
          <w:rFonts w:ascii="Palatino Linotype" w:hAnsi="Palatino Linotype"/>
          <w:sz w:val="22"/>
          <w:szCs w:val="22"/>
        </w:rPr>
        <w:lastRenderedPageBreak/>
        <w:t>interpretación del MOP hay una diferencia de 19% en las ventas netas según ambas interpretaciones.</w:t>
      </w:r>
    </w:p>
    <w:p w:rsidR="00762B8D" w:rsidRDefault="00762B8D" w:rsidP="00762B8D">
      <w:pPr>
        <w:pStyle w:val="paragraph"/>
        <w:numPr>
          <w:ilvl w:val="0"/>
          <w:numId w:val="30"/>
        </w:numPr>
        <w:jc w:val="both"/>
        <w:textAlignment w:val="baseline"/>
        <w:rPr>
          <w:rFonts w:ascii="Palatino Linotype" w:hAnsi="Palatino Linotype"/>
          <w:sz w:val="22"/>
          <w:szCs w:val="22"/>
        </w:rPr>
      </w:pPr>
      <w:r>
        <w:rPr>
          <w:rFonts w:ascii="Palatino Linotype" w:hAnsi="Palatino Linotype"/>
          <w:sz w:val="22"/>
          <w:szCs w:val="22"/>
        </w:rPr>
        <w:t>En relación a la letra c), para que diga el testigo en qué partida contable refleja la SC, si fuera el caso, las obligaciones para con los accionistas a que se refirió en su respuesta.</w:t>
      </w:r>
    </w:p>
    <w:p w:rsidR="00762B8D" w:rsidRDefault="00C24C4A" w:rsidP="00762B8D">
      <w:pPr>
        <w:pStyle w:val="paragraph"/>
        <w:ind w:left="1428"/>
        <w:jc w:val="both"/>
        <w:textAlignment w:val="baseline"/>
        <w:rPr>
          <w:rFonts w:ascii="Palatino Linotype" w:hAnsi="Palatino Linotype"/>
          <w:sz w:val="22"/>
          <w:szCs w:val="22"/>
        </w:rPr>
      </w:pPr>
      <w:r>
        <w:rPr>
          <w:rFonts w:ascii="Palatino Linotype" w:hAnsi="Palatino Linotype"/>
          <w:sz w:val="22"/>
          <w:szCs w:val="22"/>
        </w:rPr>
        <w:t>R: Hay tres conceptos: 1) el capital aportado se registra como pasivo de la SC hacia sus accionistas, 2) los intereses devengados se registran en una cuenta por pagar, con contrapartidas el activo intangible de la concesión, ello hasta la PSP2 y después con contrapartida a un cargo financiero a resultado, 3) las comisiones se contabilizan de igual forma que los intereses devengados.</w:t>
      </w:r>
    </w:p>
    <w:p w:rsidR="00FE0CCC" w:rsidRDefault="00FE0CCC" w:rsidP="00FE0CCC">
      <w:pPr>
        <w:pStyle w:val="paragraph"/>
        <w:numPr>
          <w:ilvl w:val="0"/>
          <w:numId w:val="30"/>
        </w:numPr>
        <w:jc w:val="both"/>
        <w:textAlignment w:val="baseline"/>
        <w:rPr>
          <w:rFonts w:ascii="Palatino Linotype" w:hAnsi="Palatino Linotype"/>
          <w:sz w:val="22"/>
          <w:szCs w:val="22"/>
        </w:rPr>
      </w:pPr>
      <w:r>
        <w:rPr>
          <w:rFonts w:ascii="Palatino Linotype" w:hAnsi="Palatino Linotype"/>
          <w:sz w:val="22"/>
          <w:szCs w:val="22"/>
        </w:rPr>
        <w:t>Para que diga el testigo en cuanto al activo intangible en qué momento se efectuará el cargo a pérdida o resultado de los intereses activados.</w:t>
      </w:r>
    </w:p>
    <w:p w:rsidR="00FE0CCC" w:rsidRDefault="00FE0CCC" w:rsidP="00FE0CCC">
      <w:pPr>
        <w:pStyle w:val="paragraph"/>
        <w:ind w:left="1428"/>
        <w:jc w:val="both"/>
        <w:textAlignment w:val="baseline"/>
        <w:rPr>
          <w:rFonts w:ascii="Palatino Linotype" w:hAnsi="Palatino Linotype"/>
          <w:sz w:val="22"/>
          <w:szCs w:val="22"/>
        </w:rPr>
      </w:pPr>
      <w:r>
        <w:rPr>
          <w:rFonts w:ascii="Palatino Linotype" w:hAnsi="Palatino Linotype"/>
          <w:sz w:val="22"/>
          <w:szCs w:val="22"/>
        </w:rPr>
        <w:t>R: El cargo se hará a medida que se amortice el activo intangible, es decir, desde las puestas en servicio provisorias de las obras.</w:t>
      </w:r>
    </w:p>
    <w:p w:rsidR="00B77FA4" w:rsidRDefault="00B77FA4" w:rsidP="00B77FA4">
      <w:pPr>
        <w:pStyle w:val="paragraph"/>
        <w:numPr>
          <w:ilvl w:val="0"/>
          <w:numId w:val="30"/>
        </w:numPr>
        <w:jc w:val="both"/>
        <w:textAlignment w:val="baseline"/>
        <w:rPr>
          <w:rFonts w:ascii="Palatino Linotype" w:hAnsi="Palatino Linotype"/>
          <w:sz w:val="22"/>
          <w:szCs w:val="22"/>
        </w:rPr>
      </w:pPr>
      <w:r>
        <w:rPr>
          <w:rFonts w:ascii="Palatino Linotype" w:hAnsi="Palatino Linotype"/>
          <w:sz w:val="22"/>
          <w:szCs w:val="22"/>
        </w:rPr>
        <w:t>Para que diga el testigo si</w:t>
      </w:r>
      <w:r w:rsidR="00337D18">
        <w:rPr>
          <w:rFonts w:ascii="Palatino Linotype" w:hAnsi="Palatino Linotype"/>
          <w:sz w:val="22"/>
          <w:szCs w:val="22"/>
        </w:rPr>
        <w:t xml:space="preserve"> existe algún contrato que regule</w:t>
      </w:r>
      <w:r>
        <w:rPr>
          <w:rFonts w:ascii="Palatino Linotype" w:hAnsi="Palatino Linotype"/>
          <w:sz w:val="22"/>
          <w:szCs w:val="22"/>
        </w:rPr>
        <w:t xml:space="preserve"> la obligación de la SC de soportar los costos por el otorgamiento de las garantías por parte de los accionistas</w:t>
      </w:r>
      <w:r w:rsidR="00337D18">
        <w:rPr>
          <w:rFonts w:ascii="Palatino Linotype" w:hAnsi="Palatino Linotype"/>
          <w:sz w:val="22"/>
          <w:szCs w:val="22"/>
        </w:rPr>
        <w:t>.</w:t>
      </w:r>
    </w:p>
    <w:p w:rsidR="00B77FA4" w:rsidRDefault="00B15694" w:rsidP="00B77FA4">
      <w:pPr>
        <w:pStyle w:val="paragraph"/>
        <w:ind w:left="1428"/>
        <w:jc w:val="both"/>
        <w:textAlignment w:val="baseline"/>
        <w:rPr>
          <w:rFonts w:ascii="Palatino Linotype" w:hAnsi="Palatino Linotype"/>
          <w:sz w:val="22"/>
          <w:szCs w:val="22"/>
        </w:rPr>
      </w:pPr>
      <w:r>
        <w:rPr>
          <w:rFonts w:ascii="Palatino Linotype" w:hAnsi="Palatino Linotype"/>
          <w:sz w:val="22"/>
          <w:szCs w:val="22"/>
        </w:rPr>
        <w:t xml:space="preserve">R: Existen dos instrumentos, el primero es un contrato de la financiación denominado </w:t>
      </w:r>
      <w:proofErr w:type="spellStart"/>
      <w:r>
        <w:rPr>
          <w:rFonts w:ascii="Palatino Linotype" w:hAnsi="Palatino Linotype"/>
          <w:sz w:val="22"/>
          <w:szCs w:val="22"/>
        </w:rPr>
        <w:t>Amended</w:t>
      </w:r>
      <w:proofErr w:type="spellEnd"/>
      <w:r>
        <w:rPr>
          <w:rFonts w:ascii="Palatino Linotype" w:hAnsi="Palatino Linotype"/>
          <w:sz w:val="22"/>
          <w:szCs w:val="22"/>
        </w:rPr>
        <w:t xml:space="preserve"> and </w:t>
      </w:r>
      <w:proofErr w:type="spellStart"/>
      <w:r>
        <w:rPr>
          <w:rFonts w:ascii="Palatino Linotype" w:hAnsi="Palatino Linotype"/>
          <w:sz w:val="22"/>
          <w:szCs w:val="22"/>
        </w:rPr>
        <w:t>Restated</w:t>
      </w:r>
      <w:proofErr w:type="spellEnd"/>
      <w:r>
        <w:rPr>
          <w:rFonts w:ascii="Palatino Linotype" w:hAnsi="Palatino Linotype"/>
          <w:sz w:val="22"/>
          <w:szCs w:val="22"/>
        </w:rPr>
        <w:t xml:space="preserve"> </w:t>
      </w:r>
      <w:proofErr w:type="spellStart"/>
      <w:r>
        <w:rPr>
          <w:rFonts w:ascii="Palatino Linotype" w:hAnsi="Palatino Linotype"/>
          <w:sz w:val="22"/>
          <w:szCs w:val="22"/>
        </w:rPr>
        <w:t>Equity</w:t>
      </w:r>
      <w:proofErr w:type="spellEnd"/>
      <w:r>
        <w:rPr>
          <w:rFonts w:ascii="Palatino Linotype" w:hAnsi="Palatino Linotype"/>
          <w:sz w:val="22"/>
          <w:szCs w:val="22"/>
        </w:rPr>
        <w:t xml:space="preserve"> </w:t>
      </w:r>
      <w:proofErr w:type="spellStart"/>
      <w:r>
        <w:rPr>
          <w:rFonts w:ascii="Palatino Linotype" w:hAnsi="Palatino Linotype"/>
          <w:sz w:val="22"/>
          <w:szCs w:val="22"/>
        </w:rPr>
        <w:t>Contribution</w:t>
      </w:r>
      <w:proofErr w:type="spellEnd"/>
      <w:r>
        <w:rPr>
          <w:rFonts w:ascii="Palatino Linotype" w:hAnsi="Palatino Linotype"/>
          <w:sz w:val="22"/>
          <w:szCs w:val="22"/>
        </w:rPr>
        <w:t xml:space="preserve"> </w:t>
      </w:r>
      <w:proofErr w:type="spellStart"/>
      <w:r>
        <w:rPr>
          <w:rFonts w:ascii="Palatino Linotype" w:hAnsi="Palatino Linotype"/>
          <w:sz w:val="22"/>
          <w:szCs w:val="22"/>
        </w:rPr>
        <w:t>Agreement</w:t>
      </w:r>
      <w:proofErr w:type="spellEnd"/>
      <w:r>
        <w:rPr>
          <w:rFonts w:ascii="Palatino Linotype" w:hAnsi="Palatino Linotype"/>
          <w:sz w:val="22"/>
          <w:szCs w:val="22"/>
        </w:rPr>
        <w:t xml:space="preserve"> en el cual aparece en una cláusula la obligación de la SC de pagar la comisión y que tiene como anexo </w:t>
      </w:r>
      <w:r w:rsidR="00705A5B">
        <w:rPr>
          <w:rFonts w:ascii="Palatino Linotype" w:hAnsi="Palatino Linotype"/>
          <w:sz w:val="22"/>
          <w:szCs w:val="22"/>
        </w:rPr>
        <w:t xml:space="preserve">un contrato de préstamos subordinados de accionistas donde consta las tasas de interés a aplicar sobre los desembolsos en pesos y en dólares. </w:t>
      </w:r>
      <w:r w:rsidR="00D16CDE">
        <w:rPr>
          <w:rFonts w:ascii="Palatino Linotype" w:hAnsi="Palatino Linotype"/>
          <w:sz w:val="22"/>
          <w:szCs w:val="22"/>
        </w:rPr>
        <w:t>También existen cada vez que se realiza un desembolso un pagaré donde consta la tasa de interés aplicable.</w:t>
      </w:r>
    </w:p>
    <w:p w:rsidR="006A4BA4" w:rsidRDefault="006A4BA4" w:rsidP="00B77FA4">
      <w:pPr>
        <w:pStyle w:val="paragraph"/>
        <w:ind w:left="1428"/>
        <w:jc w:val="both"/>
        <w:textAlignment w:val="baseline"/>
        <w:rPr>
          <w:rFonts w:ascii="Palatino Linotype" w:hAnsi="Palatino Linotype"/>
          <w:sz w:val="22"/>
          <w:szCs w:val="22"/>
        </w:rPr>
      </w:pPr>
      <w:r>
        <w:rPr>
          <w:rFonts w:ascii="Palatino Linotype" w:hAnsi="Palatino Linotype"/>
          <w:sz w:val="22"/>
          <w:szCs w:val="22"/>
        </w:rPr>
        <w:t>CONTRAINTERROGACIONES:</w:t>
      </w:r>
    </w:p>
    <w:p w:rsidR="006A4BA4" w:rsidRDefault="006A4BA4" w:rsidP="006A4BA4">
      <w:pPr>
        <w:pStyle w:val="paragraph"/>
        <w:numPr>
          <w:ilvl w:val="0"/>
          <w:numId w:val="31"/>
        </w:numPr>
        <w:jc w:val="both"/>
        <w:textAlignment w:val="baseline"/>
        <w:rPr>
          <w:rFonts w:ascii="Palatino Linotype" w:hAnsi="Palatino Linotype"/>
          <w:sz w:val="22"/>
          <w:szCs w:val="22"/>
        </w:rPr>
      </w:pPr>
      <w:r>
        <w:rPr>
          <w:rFonts w:ascii="Palatino Linotype" w:hAnsi="Palatino Linotype"/>
          <w:sz w:val="22"/>
          <w:szCs w:val="22"/>
        </w:rPr>
        <w:t>Para que diga el testigo si el 19% de pérdida que se generaría de acuerdo a interpretación de la SC sería un porcentaje de pérdida para ella o sería un porcentaje de pérdida para el sistema de compartición de ingresos con el Estado aplicable al presente Contrato de Concesión.</w:t>
      </w:r>
    </w:p>
    <w:p w:rsidR="006A4BA4" w:rsidRDefault="006A4BA4" w:rsidP="006A4BA4">
      <w:pPr>
        <w:pStyle w:val="paragraph"/>
        <w:ind w:left="1788"/>
        <w:jc w:val="both"/>
        <w:textAlignment w:val="baseline"/>
        <w:rPr>
          <w:rFonts w:ascii="Palatino Linotype" w:hAnsi="Palatino Linotype"/>
          <w:sz w:val="22"/>
          <w:szCs w:val="22"/>
        </w:rPr>
      </w:pPr>
      <w:r>
        <w:rPr>
          <w:rFonts w:ascii="Palatino Linotype" w:hAnsi="Palatino Linotype"/>
          <w:sz w:val="22"/>
          <w:szCs w:val="22"/>
        </w:rPr>
        <w:t>R: Retomando la formulación sería un porcentaje de pérdida para el sistema de compartición.</w:t>
      </w:r>
    </w:p>
    <w:p w:rsidR="006A4BA4" w:rsidRDefault="006A4BA4" w:rsidP="006A4BA4">
      <w:pPr>
        <w:pStyle w:val="paragraph"/>
        <w:numPr>
          <w:ilvl w:val="0"/>
          <w:numId w:val="31"/>
        </w:numPr>
        <w:jc w:val="both"/>
        <w:textAlignment w:val="baseline"/>
        <w:rPr>
          <w:rFonts w:ascii="Palatino Linotype" w:hAnsi="Palatino Linotype"/>
          <w:sz w:val="22"/>
          <w:szCs w:val="22"/>
        </w:rPr>
      </w:pPr>
      <w:r>
        <w:rPr>
          <w:rFonts w:ascii="Palatino Linotype" w:hAnsi="Palatino Linotype"/>
          <w:sz w:val="22"/>
          <w:szCs w:val="22"/>
        </w:rPr>
        <w:lastRenderedPageBreak/>
        <w:t>Para que diga el testigo, de acuerdo a la interpretación de la SC, y considerando el sistema de compartición de ingresos de la concesión cuál sería el porcentaje de pérdida para la SC.</w:t>
      </w:r>
    </w:p>
    <w:p w:rsidR="006A4BA4" w:rsidRDefault="006A4BA4" w:rsidP="006A4BA4">
      <w:pPr>
        <w:pStyle w:val="paragraph"/>
        <w:ind w:left="1788"/>
        <w:jc w:val="both"/>
        <w:textAlignment w:val="baseline"/>
        <w:rPr>
          <w:rFonts w:ascii="Palatino Linotype" w:hAnsi="Palatino Linotype"/>
          <w:sz w:val="22"/>
          <w:szCs w:val="22"/>
        </w:rPr>
      </w:pPr>
      <w:r>
        <w:rPr>
          <w:rFonts w:ascii="Palatino Linotype" w:hAnsi="Palatino Linotype"/>
          <w:sz w:val="22"/>
          <w:szCs w:val="22"/>
        </w:rPr>
        <w:t xml:space="preserve">R: </w:t>
      </w:r>
      <w:r w:rsidR="00EC7E19">
        <w:rPr>
          <w:rFonts w:ascii="Palatino Linotype" w:hAnsi="Palatino Linotype"/>
          <w:sz w:val="22"/>
          <w:szCs w:val="22"/>
        </w:rPr>
        <w:t>Si se aplicara el factor de compartición a la base de estos 19% sería el 19% por el 22,44%.</w:t>
      </w:r>
    </w:p>
    <w:p w:rsidR="00C57113" w:rsidRDefault="00C57113" w:rsidP="00C57113">
      <w:pPr>
        <w:pStyle w:val="paragraph"/>
        <w:numPr>
          <w:ilvl w:val="0"/>
          <w:numId w:val="31"/>
        </w:numPr>
        <w:jc w:val="both"/>
        <w:textAlignment w:val="baseline"/>
        <w:rPr>
          <w:rFonts w:ascii="Palatino Linotype" w:hAnsi="Palatino Linotype"/>
          <w:sz w:val="22"/>
          <w:szCs w:val="22"/>
        </w:rPr>
      </w:pPr>
      <w:r>
        <w:rPr>
          <w:rFonts w:ascii="Palatino Linotype" w:hAnsi="Palatino Linotype"/>
          <w:sz w:val="22"/>
          <w:szCs w:val="22"/>
        </w:rPr>
        <w:t>Para que aclare el testigo quiénes son las partes de los contratos de financiamiento mencionados en sus respuestas anteriores y si el MOP tiene alguna intervención en esos contratos.</w:t>
      </w:r>
    </w:p>
    <w:p w:rsidR="00C57113" w:rsidRDefault="00C57113" w:rsidP="00C57113">
      <w:pPr>
        <w:pStyle w:val="paragraph"/>
        <w:ind w:left="1788"/>
        <w:jc w:val="both"/>
        <w:textAlignment w:val="baseline"/>
        <w:rPr>
          <w:rFonts w:ascii="Palatino Linotype" w:hAnsi="Palatino Linotype"/>
          <w:sz w:val="22"/>
          <w:szCs w:val="22"/>
        </w:rPr>
      </w:pPr>
      <w:r>
        <w:rPr>
          <w:rFonts w:ascii="Palatino Linotype" w:hAnsi="Palatino Linotype"/>
          <w:sz w:val="22"/>
          <w:szCs w:val="22"/>
        </w:rPr>
        <w:t xml:space="preserve">R: Para el </w:t>
      </w:r>
      <w:proofErr w:type="spellStart"/>
      <w:r>
        <w:rPr>
          <w:rFonts w:ascii="Palatino Linotype" w:hAnsi="Palatino Linotype"/>
          <w:sz w:val="22"/>
          <w:szCs w:val="22"/>
        </w:rPr>
        <w:t>Amended</w:t>
      </w:r>
      <w:proofErr w:type="spellEnd"/>
      <w:r>
        <w:rPr>
          <w:rFonts w:ascii="Palatino Linotype" w:hAnsi="Palatino Linotype"/>
          <w:sz w:val="22"/>
          <w:szCs w:val="22"/>
        </w:rPr>
        <w:t xml:space="preserve"> and </w:t>
      </w:r>
      <w:proofErr w:type="spellStart"/>
      <w:r>
        <w:rPr>
          <w:rFonts w:ascii="Palatino Linotype" w:hAnsi="Palatino Linotype"/>
          <w:sz w:val="22"/>
          <w:szCs w:val="22"/>
        </w:rPr>
        <w:t>Restated</w:t>
      </w:r>
      <w:proofErr w:type="spellEnd"/>
      <w:r>
        <w:rPr>
          <w:rFonts w:ascii="Palatino Linotype" w:hAnsi="Palatino Linotype"/>
          <w:sz w:val="22"/>
          <w:szCs w:val="22"/>
        </w:rPr>
        <w:t xml:space="preserve"> </w:t>
      </w:r>
      <w:proofErr w:type="spellStart"/>
      <w:r>
        <w:rPr>
          <w:rFonts w:ascii="Palatino Linotype" w:hAnsi="Palatino Linotype"/>
          <w:sz w:val="22"/>
          <w:szCs w:val="22"/>
        </w:rPr>
        <w:t>Equity</w:t>
      </w:r>
      <w:proofErr w:type="spellEnd"/>
      <w:r>
        <w:rPr>
          <w:rFonts w:ascii="Palatino Linotype" w:hAnsi="Palatino Linotype"/>
          <w:sz w:val="22"/>
          <w:szCs w:val="22"/>
        </w:rPr>
        <w:t xml:space="preserve"> </w:t>
      </w:r>
      <w:proofErr w:type="spellStart"/>
      <w:r>
        <w:rPr>
          <w:rFonts w:ascii="Palatino Linotype" w:hAnsi="Palatino Linotype"/>
          <w:sz w:val="22"/>
          <w:szCs w:val="22"/>
        </w:rPr>
        <w:t>Contribution</w:t>
      </w:r>
      <w:proofErr w:type="spellEnd"/>
      <w:r>
        <w:rPr>
          <w:rFonts w:ascii="Palatino Linotype" w:hAnsi="Palatino Linotype"/>
          <w:sz w:val="22"/>
          <w:szCs w:val="22"/>
        </w:rPr>
        <w:t xml:space="preserve"> </w:t>
      </w:r>
      <w:proofErr w:type="spellStart"/>
      <w:r>
        <w:rPr>
          <w:rFonts w:ascii="Palatino Linotype" w:hAnsi="Palatino Linotype"/>
          <w:sz w:val="22"/>
          <w:szCs w:val="22"/>
        </w:rPr>
        <w:t>Agreement</w:t>
      </w:r>
      <w:proofErr w:type="spellEnd"/>
      <w:r>
        <w:rPr>
          <w:rFonts w:ascii="Palatino Linotype" w:hAnsi="Palatino Linotype"/>
          <w:sz w:val="22"/>
          <w:szCs w:val="22"/>
        </w:rPr>
        <w:t xml:space="preserve"> las partes del contrato son: la SC, los tres accionistas de la SC, el agente de garantías de la financiación, que es el Banco Santander Chile, y el agente global de la financiación que es </w:t>
      </w:r>
      <w:proofErr w:type="spellStart"/>
      <w:r>
        <w:rPr>
          <w:rFonts w:ascii="Palatino Linotype" w:hAnsi="Palatino Linotype"/>
          <w:sz w:val="22"/>
          <w:szCs w:val="22"/>
        </w:rPr>
        <w:t>Credit</w:t>
      </w:r>
      <w:proofErr w:type="spellEnd"/>
      <w:r>
        <w:rPr>
          <w:rFonts w:ascii="Palatino Linotype" w:hAnsi="Palatino Linotype"/>
          <w:sz w:val="22"/>
          <w:szCs w:val="22"/>
        </w:rPr>
        <w:t xml:space="preserve"> </w:t>
      </w:r>
      <w:proofErr w:type="spellStart"/>
      <w:r>
        <w:rPr>
          <w:rFonts w:ascii="Palatino Linotype" w:hAnsi="Palatino Linotype"/>
          <w:sz w:val="22"/>
          <w:szCs w:val="22"/>
        </w:rPr>
        <w:t>Agricole</w:t>
      </w:r>
      <w:proofErr w:type="spellEnd"/>
      <w:r>
        <w:rPr>
          <w:rFonts w:ascii="Palatino Linotype" w:hAnsi="Palatino Linotype"/>
          <w:sz w:val="22"/>
          <w:szCs w:val="22"/>
        </w:rPr>
        <w:t xml:space="preserve"> </w:t>
      </w:r>
      <w:proofErr w:type="spellStart"/>
      <w:r>
        <w:rPr>
          <w:rFonts w:ascii="Palatino Linotype" w:hAnsi="Palatino Linotype"/>
          <w:sz w:val="22"/>
          <w:szCs w:val="22"/>
        </w:rPr>
        <w:t>Corporate</w:t>
      </w:r>
      <w:proofErr w:type="spellEnd"/>
      <w:r>
        <w:rPr>
          <w:rFonts w:ascii="Palatino Linotype" w:hAnsi="Palatino Linotype"/>
          <w:sz w:val="22"/>
          <w:szCs w:val="22"/>
        </w:rPr>
        <w:t xml:space="preserve"> </w:t>
      </w:r>
      <w:proofErr w:type="spellStart"/>
      <w:r>
        <w:rPr>
          <w:rFonts w:ascii="Palatino Linotype" w:hAnsi="Palatino Linotype"/>
          <w:sz w:val="22"/>
          <w:szCs w:val="22"/>
        </w:rPr>
        <w:t>Investment</w:t>
      </w:r>
      <w:proofErr w:type="spellEnd"/>
      <w:r>
        <w:rPr>
          <w:rFonts w:ascii="Palatino Linotype" w:hAnsi="Palatino Linotype"/>
          <w:sz w:val="22"/>
          <w:szCs w:val="22"/>
        </w:rPr>
        <w:t xml:space="preserve"> Bank, NY. Para los pagarés, las partes son: la SC y cada accionista que otorgó el desembolso.</w:t>
      </w:r>
    </w:p>
    <w:p w:rsidR="004B49A7" w:rsidRDefault="004B49A7" w:rsidP="00C57113">
      <w:pPr>
        <w:pStyle w:val="paragraph"/>
        <w:ind w:left="1788"/>
        <w:jc w:val="both"/>
        <w:textAlignment w:val="baseline"/>
        <w:rPr>
          <w:rFonts w:ascii="Palatino Linotype" w:hAnsi="Palatino Linotype"/>
          <w:sz w:val="22"/>
          <w:szCs w:val="22"/>
        </w:rPr>
      </w:pPr>
      <w:r>
        <w:rPr>
          <w:rFonts w:ascii="Palatino Linotype" w:hAnsi="Palatino Linotype"/>
          <w:sz w:val="22"/>
          <w:szCs w:val="22"/>
        </w:rPr>
        <w:t>El MOP no tiene intervención directa en estos contratos.</w:t>
      </w:r>
    </w:p>
    <w:p w:rsidR="008040BB" w:rsidRDefault="002958A6" w:rsidP="002A634B">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Siendo las </w:t>
      </w:r>
      <w:r w:rsidR="004B49A7">
        <w:rPr>
          <w:rFonts w:ascii="Palatino Linotype" w:hAnsi="Palatino Linotype"/>
          <w:lang w:val="es-ES_tradnl"/>
        </w:rPr>
        <w:t xml:space="preserve">11:26 horas, </w:t>
      </w:r>
      <w:r w:rsidR="008040BB">
        <w:rPr>
          <w:rFonts w:ascii="Palatino Linotype" w:hAnsi="Palatino Linotype"/>
          <w:lang w:val="es-ES_tradnl"/>
        </w:rPr>
        <w:t>se pone término a la declaración del testigo</w:t>
      </w:r>
      <w:r w:rsidR="004B49A7">
        <w:rPr>
          <w:rFonts w:ascii="Palatino Linotype" w:hAnsi="Palatino Linotype"/>
          <w:lang w:val="es-ES_tradnl"/>
        </w:rPr>
        <w:t xml:space="preserve">, quien firma junto con los comparecientes y </w:t>
      </w:r>
      <w:r w:rsidR="008040BB">
        <w:rPr>
          <w:rFonts w:ascii="Palatino Linotype" w:hAnsi="Palatino Linotype"/>
          <w:lang w:val="es-ES_tradnl"/>
        </w:rPr>
        <w:t>los miembros de la Comisión.</w:t>
      </w:r>
    </w:p>
    <w:p w:rsidR="002A634B" w:rsidRDefault="002A634B" w:rsidP="003E7F59">
      <w:pPr>
        <w:overflowPunct w:val="0"/>
        <w:autoSpaceDE w:val="0"/>
        <w:autoSpaceDN w:val="0"/>
        <w:adjustRightInd w:val="0"/>
        <w:ind w:left="360"/>
        <w:jc w:val="both"/>
        <w:rPr>
          <w:rFonts w:ascii="Palatino Linotype" w:hAnsi="Palatino Linotype"/>
          <w:lang w:val="es-ES_tradnl"/>
        </w:rPr>
      </w:pPr>
    </w:p>
    <w:p w:rsidR="008040BB" w:rsidRDefault="008040BB" w:rsidP="003E7F59">
      <w:pPr>
        <w:overflowPunct w:val="0"/>
        <w:autoSpaceDE w:val="0"/>
        <w:autoSpaceDN w:val="0"/>
        <w:adjustRightInd w:val="0"/>
        <w:ind w:left="360"/>
        <w:jc w:val="both"/>
        <w:rPr>
          <w:rFonts w:ascii="Palatino Linotype" w:hAnsi="Palatino Linotype"/>
          <w:lang w:val="es-ES_tradnl"/>
        </w:rPr>
      </w:pPr>
    </w:p>
    <w:p w:rsidR="008040BB" w:rsidRDefault="008040BB" w:rsidP="003E7F59">
      <w:pPr>
        <w:overflowPunct w:val="0"/>
        <w:autoSpaceDE w:val="0"/>
        <w:autoSpaceDN w:val="0"/>
        <w:adjustRightInd w:val="0"/>
        <w:ind w:left="360"/>
        <w:jc w:val="both"/>
        <w:rPr>
          <w:rFonts w:ascii="Palatino Linotype" w:hAnsi="Palatino Linotype"/>
          <w:lang w:val="es-ES_tradnl"/>
        </w:rPr>
      </w:pPr>
    </w:p>
    <w:p w:rsidR="004E49BF" w:rsidRDefault="004E49BF" w:rsidP="003E7F59">
      <w:pPr>
        <w:overflowPunct w:val="0"/>
        <w:autoSpaceDE w:val="0"/>
        <w:autoSpaceDN w:val="0"/>
        <w:adjustRightInd w:val="0"/>
        <w:ind w:left="360"/>
        <w:jc w:val="both"/>
        <w:rPr>
          <w:rFonts w:ascii="Palatino Linotype" w:hAnsi="Palatino Linotype"/>
          <w:lang w:val="es-ES_tradnl"/>
        </w:rPr>
      </w:pPr>
    </w:p>
    <w:p w:rsidR="00144FE1" w:rsidRPr="00671EA4" w:rsidRDefault="00144FE1" w:rsidP="00144FE1">
      <w:pPr>
        <w:overflowPunct w:val="0"/>
        <w:autoSpaceDE w:val="0"/>
        <w:autoSpaceDN w:val="0"/>
        <w:adjustRightInd w:val="0"/>
        <w:jc w:val="both"/>
        <w:rPr>
          <w:rFonts w:ascii="Palatino Linotype" w:hAnsi="Palatino Linotype"/>
          <w:lang w:val="es-ES_tradnl"/>
        </w:rPr>
      </w:pPr>
      <w:r w:rsidRPr="00671EA4">
        <w:rPr>
          <w:rFonts w:ascii="Palatino Linotype" w:hAnsi="Palatino Linotype"/>
          <w:lang w:val="es-ES_tradnl"/>
        </w:rPr>
        <w:t xml:space="preserve">Raphael Alain Louis </w:t>
      </w:r>
      <w:proofErr w:type="spellStart"/>
      <w:r w:rsidRPr="00671EA4">
        <w:rPr>
          <w:rFonts w:ascii="Palatino Linotype" w:hAnsi="Palatino Linotype"/>
          <w:lang w:val="es-ES_tradnl"/>
        </w:rPr>
        <w:t>Pourny</w:t>
      </w:r>
      <w:proofErr w:type="spellEnd"/>
    </w:p>
    <w:p w:rsidR="00144FE1" w:rsidRDefault="00144FE1" w:rsidP="00144FE1">
      <w:pPr>
        <w:overflowPunct w:val="0"/>
        <w:autoSpaceDE w:val="0"/>
        <w:autoSpaceDN w:val="0"/>
        <w:adjustRightInd w:val="0"/>
        <w:jc w:val="both"/>
        <w:rPr>
          <w:rFonts w:ascii="Palatino Linotype" w:hAnsi="Palatino Linotype"/>
          <w:lang w:val="es-ES_tradnl"/>
        </w:rPr>
      </w:pPr>
    </w:p>
    <w:p w:rsidR="00144FE1" w:rsidRDefault="00144FE1" w:rsidP="00144FE1">
      <w:pPr>
        <w:overflowPunct w:val="0"/>
        <w:autoSpaceDE w:val="0"/>
        <w:autoSpaceDN w:val="0"/>
        <w:adjustRightInd w:val="0"/>
        <w:jc w:val="both"/>
        <w:rPr>
          <w:rFonts w:ascii="Palatino Linotype" w:hAnsi="Palatino Linotype"/>
          <w:lang w:val="es-ES_tradnl"/>
        </w:rPr>
      </w:pPr>
    </w:p>
    <w:p w:rsidR="004E49BF" w:rsidRDefault="004E49BF" w:rsidP="00144FE1">
      <w:pPr>
        <w:overflowPunct w:val="0"/>
        <w:autoSpaceDE w:val="0"/>
        <w:autoSpaceDN w:val="0"/>
        <w:adjustRightInd w:val="0"/>
        <w:jc w:val="both"/>
        <w:rPr>
          <w:rFonts w:ascii="Palatino Linotype" w:hAnsi="Palatino Linotype"/>
          <w:lang w:val="es-ES_tradnl"/>
        </w:rPr>
      </w:pPr>
    </w:p>
    <w:p w:rsidR="004E49BF" w:rsidRDefault="004E49BF" w:rsidP="00144FE1">
      <w:pPr>
        <w:overflowPunct w:val="0"/>
        <w:autoSpaceDE w:val="0"/>
        <w:autoSpaceDN w:val="0"/>
        <w:adjustRightInd w:val="0"/>
        <w:jc w:val="both"/>
        <w:rPr>
          <w:rFonts w:ascii="Palatino Linotype" w:hAnsi="Palatino Linotype"/>
          <w:lang w:val="es-ES_tradnl"/>
        </w:rPr>
      </w:pPr>
    </w:p>
    <w:p w:rsidR="004E49BF" w:rsidRPr="005F4471" w:rsidRDefault="004E49BF" w:rsidP="00144FE1">
      <w:pPr>
        <w:overflowPunct w:val="0"/>
        <w:autoSpaceDE w:val="0"/>
        <w:autoSpaceDN w:val="0"/>
        <w:adjustRightInd w:val="0"/>
        <w:jc w:val="both"/>
        <w:rPr>
          <w:rFonts w:ascii="Palatino Linotype" w:hAnsi="Palatino Linotype"/>
          <w:lang w:val="es-ES_tradnl"/>
        </w:rPr>
      </w:pPr>
    </w:p>
    <w:p w:rsidR="00144FE1" w:rsidRPr="005F4471" w:rsidRDefault="00144FE1" w:rsidP="00144FE1">
      <w:pPr>
        <w:overflowPunct w:val="0"/>
        <w:autoSpaceDE w:val="0"/>
        <w:autoSpaceDN w:val="0"/>
        <w:adjustRightInd w:val="0"/>
        <w:jc w:val="both"/>
        <w:rPr>
          <w:rFonts w:ascii="Palatino Linotype" w:hAnsi="Palatino Linotype"/>
          <w:lang w:val="es-ES_tradnl"/>
        </w:rPr>
      </w:pPr>
      <w:r w:rsidRPr="005F4471">
        <w:rPr>
          <w:rFonts w:ascii="Palatino Linotype" w:hAnsi="Palatino Linotype"/>
          <w:lang w:val="es-ES_tradnl"/>
        </w:rPr>
        <w:t xml:space="preserve">Sebastián </w:t>
      </w:r>
      <w:proofErr w:type="spellStart"/>
      <w:r w:rsidRPr="005F4471">
        <w:rPr>
          <w:rFonts w:ascii="Palatino Linotype" w:hAnsi="Palatino Linotype"/>
          <w:lang w:val="es-ES_tradnl"/>
        </w:rPr>
        <w:t>Yanine</w:t>
      </w:r>
      <w:proofErr w:type="spellEnd"/>
      <w:r w:rsidRPr="005F4471">
        <w:rPr>
          <w:rFonts w:ascii="Palatino Linotype" w:hAnsi="Palatino Linotype"/>
          <w:lang w:val="es-ES_tradnl"/>
        </w:rPr>
        <w:t xml:space="preserve"> Montaner   </w:t>
      </w:r>
      <w:r w:rsidRPr="005F4471">
        <w:rPr>
          <w:rFonts w:ascii="Palatino Linotype" w:hAnsi="Palatino Linotype"/>
          <w:lang w:val="es-ES_tradnl"/>
        </w:rPr>
        <w:tab/>
      </w:r>
      <w:r w:rsidRPr="005F4471">
        <w:rPr>
          <w:rFonts w:ascii="Palatino Linotype" w:hAnsi="Palatino Linotype"/>
          <w:lang w:val="es-ES_tradnl"/>
        </w:rPr>
        <w:tab/>
      </w:r>
      <w:r w:rsidRPr="005F4471">
        <w:rPr>
          <w:rFonts w:ascii="Palatino Linotype" w:hAnsi="Palatino Linotype"/>
          <w:lang w:val="es-ES_tradnl"/>
        </w:rPr>
        <w:tab/>
      </w:r>
      <w:r w:rsidRPr="005F4471">
        <w:rPr>
          <w:rFonts w:ascii="Palatino Linotype" w:hAnsi="Palatino Linotype"/>
          <w:lang w:val="es-ES_tradnl"/>
        </w:rPr>
        <w:tab/>
        <w:t>Katherine González Navarro</w:t>
      </w:r>
    </w:p>
    <w:p w:rsidR="00144FE1" w:rsidRPr="005F4471" w:rsidRDefault="00144FE1" w:rsidP="00144FE1">
      <w:pPr>
        <w:overflowPunct w:val="0"/>
        <w:autoSpaceDE w:val="0"/>
        <w:autoSpaceDN w:val="0"/>
        <w:adjustRightInd w:val="0"/>
        <w:jc w:val="both"/>
        <w:rPr>
          <w:rFonts w:ascii="Palatino Linotype" w:hAnsi="Palatino Linotype"/>
          <w:lang w:val="es-ES_tradnl"/>
        </w:rPr>
      </w:pPr>
    </w:p>
    <w:p w:rsidR="00144FE1" w:rsidRDefault="00144FE1" w:rsidP="00144FE1">
      <w:pPr>
        <w:overflowPunct w:val="0"/>
        <w:autoSpaceDE w:val="0"/>
        <w:autoSpaceDN w:val="0"/>
        <w:adjustRightInd w:val="0"/>
        <w:jc w:val="both"/>
        <w:rPr>
          <w:rFonts w:ascii="Palatino Linotype" w:hAnsi="Palatino Linotype"/>
          <w:lang w:val="es-ES_tradnl"/>
        </w:rPr>
      </w:pPr>
    </w:p>
    <w:p w:rsidR="004E49BF" w:rsidRPr="005F4471" w:rsidRDefault="004E49BF" w:rsidP="00144FE1">
      <w:pPr>
        <w:overflowPunct w:val="0"/>
        <w:autoSpaceDE w:val="0"/>
        <w:autoSpaceDN w:val="0"/>
        <w:adjustRightInd w:val="0"/>
        <w:jc w:val="both"/>
        <w:rPr>
          <w:rFonts w:ascii="Palatino Linotype" w:hAnsi="Palatino Linotype"/>
          <w:lang w:val="es-ES_tradnl"/>
        </w:rPr>
      </w:pPr>
      <w:bookmarkStart w:id="0" w:name="_GoBack"/>
      <w:bookmarkEnd w:id="0"/>
    </w:p>
    <w:p w:rsidR="00144FE1" w:rsidRPr="005F4471" w:rsidRDefault="00144FE1" w:rsidP="00144FE1">
      <w:pPr>
        <w:overflowPunct w:val="0"/>
        <w:autoSpaceDE w:val="0"/>
        <w:autoSpaceDN w:val="0"/>
        <w:adjustRightInd w:val="0"/>
        <w:jc w:val="both"/>
        <w:rPr>
          <w:rFonts w:ascii="Palatino Linotype" w:hAnsi="Palatino Linotype"/>
          <w:lang w:val="es-ES_tradnl"/>
        </w:rPr>
      </w:pPr>
    </w:p>
    <w:p w:rsidR="00144FE1" w:rsidRDefault="00144FE1" w:rsidP="00144FE1">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Ricardo Escobar Calderón</w:t>
      </w:r>
      <w:r w:rsidRPr="005F4471">
        <w:rPr>
          <w:rFonts w:ascii="Palatino Linotype" w:hAnsi="Palatino Linotype"/>
          <w:lang w:val="es-ES_tradnl"/>
        </w:rPr>
        <w:tab/>
      </w:r>
      <w:r w:rsidRPr="005F4471">
        <w:rPr>
          <w:rFonts w:ascii="Palatino Linotype" w:hAnsi="Palatino Linotype"/>
          <w:lang w:val="es-ES_tradnl"/>
        </w:rPr>
        <w:tab/>
      </w:r>
      <w:r w:rsidRPr="005F4471">
        <w:rPr>
          <w:rFonts w:ascii="Palatino Linotype" w:hAnsi="Palatino Linotype"/>
          <w:lang w:val="es-ES_tradnl"/>
        </w:rPr>
        <w:tab/>
      </w:r>
      <w:r w:rsidRPr="005F4471">
        <w:rPr>
          <w:rFonts w:ascii="Palatino Linotype" w:hAnsi="Palatino Linotype"/>
          <w:lang w:val="es-ES_tradnl"/>
        </w:rPr>
        <w:tab/>
      </w:r>
      <w:r w:rsidRPr="005F4471">
        <w:rPr>
          <w:rFonts w:ascii="Palatino Linotype" w:hAnsi="Palatino Linotype"/>
          <w:lang w:val="es-ES_tradnl"/>
        </w:rPr>
        <w:tab/>
      </w:r>
    </w:p>
    <w:p w:rsidR="00144FE1" w:rsidRDefault="00144FE1" w:rsidP="00144FE1">
      <w:pPr>
        <w:overflowPunct w:val="0"/>
        <w:autoSpaceDE w:val="0"/>
        <w:autoSpaceDN w:val="0"/>
        <w:adjustRightInd w:val="0"/>
        <w:jc w:val="both"/>
        <w:rPr>
          <w:rFonts w:ascii="Palatino Linotype" w:hAnsi="Palatino Linotype"/>
          <w:lang w:val="es-ES_tradnl"/>
        </w:rPr>
      </w:pPr>
    </w:p>
    <w:p w:rsidR="00144FE1" w:rsidRDefault="00144FE1" w:rsidP="00144FE1">
      <w:pPr>
        <w:overflowPunct w:val="0"/>
        <w:autoSpaceDE w:val="0"/>
        <w:autoSpaceDN w:val="0"/>
        <w:adjustRightInd w:val="0"/>
        <w:jc w:val="both"/>
        <w:rPr>
          <w:rFonts w:ascii="Palatino Linotype" w:hAnsi="Palatino Linotype"/>
          <w:lang w:val="es-ES_tradnl"/>
        </w:rPr>
      </w:pPr>
    </w:p>
    <w:p w:rsidR="00144FE1" w:rsidRDefault="00144FE1" w:rsidP="00144FE1">
      <w:pPr>
        <w:overflowPunct w:val="0"/>
        <w:autoSpaceDE w:val="0"/>
        <w:autoSpaceDN w:val="0"/>
        <w:adjustRightInd w:val="0"/>
        <w:jc w:val="both"/>
        <w:rPr>
          <w:rFonts w:ascii="Palatino Linotype" w:hAnsi="Palatino Linotype"/>
          <w:lang w:val="es-ES_tradnl"/>
        </w:rPr>
      </w:pPr>
    </w:p>
    <w:p w:rsidR="00144FE1" w:rsidRDefault="00144FE1" w:rsidP="00144FE1">
      <w:pPr>
        <w:overflowPunct w:val="0"/>
        <w:autoSpaceDE w:val="0"/>
        <w:autoSpaceDN w:val="0"/>
        <w:adjustRightInd w:val="0"/>
        <w:jc w:val="both"/>
        <w:rPr>
          <w:rFonts w:ascii="Palatino Linotype" w:hAnsi="Palatino Linotype"/>
          <w:lang w:val="es-ES_tradnl"/>
        </w:rPr>
      </w:pPr>
    </w:p>
    <w:p w:rsidR="00144FE1" w:rsidRDefault="00144FE1" w:rsidP="00144FE1">
      <w:pPr>
        <w:overflowPunct w:val="0"/>
        <w:autoSpaceDE w:val="0"/>
        <w:autoSpaceDN w:val="0"/>
        <w:adjustRightInd w:val="0"/>
        <w:jc w:val="both"/>
        <w:rPr>
          <w:rFonts w:ascii="Palatino Linotype" w:hAnsi="Palatino Linotype"/>
          <w:lang w:val="es-ES_tradnl"/>
        </w:rPr>
      </w:pPr>
    </w:p>
    <w:p w:rsidR="00144FE1" w:rsidRPr="0037070A" w:rsidRDefault="00144FE1" w:rsidP="00144FE1">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Marcos Navarro Guevara </w:t>
      </w:r>
      <w:r>
        <w:rPr>
          <w:rFonts w:ascii="Palatino Linotype" w:hAnsi="Palatino Linotype"/>
          <w:lang w:val="es-ES_tradnl"/>
        </w:rPr>
        <w:tab/>
      </w:r>
      <w:r>
        <w:rPr>
          <w:rFonts w:ascii="Palatino Linotype" w:hAnsi="Palatino Linotype"/>
          <w:lang w:val="es-ES_tradnl"/>
        </w:rPr>
        <w:tab/>
      </w:r>
      <w:r>
        <w:rPr>
          <w:rFonts w:ascii="Palatino Linotype" w:hAnsi="Palatino Linotype"/>
          <w:lang w:val="es-ES_tradnl"/>
        </w:rPr>
        <w:tab/>
      </w:r>
      <w:r>
        <w:rPr>
          <w:rFonts w:ascii="Palatino Linotype" w:hAnsi="Palatino Linotype"/>
          <w:lang w:val="es-ES_tradnl"/>
        </w:rPr>
        <w:tab/>
      </w:r>
      <w:r>
        <w:rPr>
          <w:rFonts w:ascii="Palatino Linotype" w:hAnsi="Palatino Linotype"/>
          <w:lang w:val="es-ES_tradnl"/>
        </w:rPr>
        <w:tab/>
      </w:r>
      <w:r>
        <w:rPr>
          <w:rFonts w:ascii="Palatino Linotype" w:hAnsi="Palatino Linotype"/>
          <w:lang w:val="es-ES_tradnl"/>
        </w:rPr>
        <w:tab/>
      </w:r>
      <w:r w:rsidRPr="0037070A">
        <w:rPr>
          <w:rFonts w:ascii="Palatino Linotype" w:hAnsi="Palatino Linotype"/>
          <w:lang w:val="es-ES_tradnl"/>
        </w:rPr>
        <w:t xml:space="preserve">Pablo Muñoz </w:t>
      </w:r>
      <w:proofErr w:type="spellStart"/>
      <w:r w:rsidRPr="0037070A">
        <w:rPr>
          <w:rFonts w:ascii="Palatino Linotype" w:hAnsi="Palatino Linotype"/>
          <w:lang w:val="es-ES_tradnl"/>
        </w:rPr>
        <w:t>Agurto</w:t>
      </w:r>
      <w:proofErr w:type="spellEnd"/>
    </w:p>
    <w:p w:rsidR="00144FE1" w:rsidRPr="0037070A" w:rsidRDefault="00144FE1" w:rsidP="00144FE1">
      <w:pPr>
        <w:overflowPunct w:val="0"/>
        <w:autoSpaceDE w:val="0"/>
        <w:autoSpaceDN w:val="0"/>
        <w:adjustRightInd w:val="0"/>
        <w:rPr>
          <w:rFonts w:ascii="Palatino Linotype" w:hAnsi="Palatino Linotype"/>
          <w:lang w:val="es-ES_tradnl"/>
        </w:rPr>
      </w:pPr>
    </w:p>
    <w:p w:rsidR="00144FE1" w:rsidRPr="0037070A" w:rsidRDefault="00144FE1" w:rsidP="00144FE1">
      <w:pPr>
        <w:overflowPunct w:val="0"/>
        <w:autoSpaceDE w:val="0"/>
        <w:autoSpaceDN w:val="0"/>
        <w:adjustRightInd w:val="0"/>
        <w:rPr>
          <w:rFonts w:ascii="Palatino Linotype" w:hAnsi="Palatino Linotype"/>
          <w:lang w:val="es-ES_tradnl"/>
        </w:rPr>
      </w:pPr>
    </w:p>
    <w:p w:rsidR="00144FE1" w:rsidRPr="00144FE1" w:rsidRDefault="00144FE1" w:rsidP="00144FE1">
      <w:pPr>
        <w:overflowPunct w:val="0"/>
        <w:autoSpaceDE w:val="0"/>
        <w:autoSpaceDN w:val="0"/>
        <w:adjustRightInd w:val="0"/>
        <w:rPr>
          <w:rFonts w:ascii="Palatino Linotype" w:hAnsi="Palatino Linotype"/>
          <w:lang w:val="es-ES_tradnl"/>
        </w:rPr>
      </w:pPr>
    </w:p>
    <w:p w:rsidR="00144FE1" w:rsidRPr="00144FE1" w:rsidRDefault="00144FE1" w:rsidP="00144FE1">
      <w:pPr>
        <w:overflowPunct w:val="0"/>
        <w:autoSpaceDE w:val="0"/>
        <w:autoSpaceDN w:val="0"/>
        <w:adjustRightInd w:val="0"/>
        <w:rPr>
          <w:rFonts w:ascii="Palatino Linotype" w:hAnsi="Palatino Linotype"/>
          <w:lang w:val="es-ES_tradnl"/>
        </w:rPr>
      </w:pPr>
    </w:p>
    <w:p w:rsidR="00144FE1" w:rsidRPr="008040BB" w:rsidRDefault="00144FE1" w:rsidP="00144FE1">
      <w:pPr>
        <w:overflowPunct w:val="0"/>
        <w:autoSpaceDE w:val="0"/>
        <w:autoSpaceDN w:val="0"/>
        <w:adjustRightInd w:val="0"/>
        <w:rPr>
          <w:rFonts w:ascii="Palatino Linotype" w:hAnsi="Palatino Linotype"/>
          <w:lang w:val="es-ES_tradnl"/>
        </w:rPr>
      </w:pPr>
      <w:r w:rsidRPr="00144FE1">
        <w:rPr>
          <w:rFonts w:ascii="Palatino Linotype" w:hAnsi="Palatino Linotype"/>
          <w:lang w:val="es-ES_tradnl"/>
        </w:rPr>
        <w:t xml:space="preserve">Marcelo Barrientos Zamorano </w:t>
      </w:r>
      <w:r w:rsidRPr="00144FE1">
        <w:rPr>
          <w:rFonts w:ascii="Palatino Linotype" w:hAnsi="Palatino Linotype"/>
          <w:lang w:val="es-ES_tradnl"/>
        </w:rPr>
        <w:tab/>
      </w:r>
      <w:r>
        <w:rPr>
          <w:rFonts w:ascii="Palatino Linotype" w:hAnsi="Palatino Linotype"/>
          <w:lang w:val="es-ES_tradnl"/>
        </w:rPr>
        <w:tab/>
      </w:r>
      <w:r>
        <w:rPr>
          <w:rFonts w:ascii="Palatino Linotype" w:hAnsi="Palatino Linotype"/>
          <w:lang w:val="es-ES_tradnl"/>
        </w:rPr>
        <w:tab/>
      </w:r>
      <w:r>
        <w:rPr>
          <w:rFonts w:ascii="Palatino Linotype" w:hAnsi="Palatino Linotype"/>
          <w:lang w:val="es-ES_tradnl"/>
        </w:rPr>
        <w:tab/>
      </w:r>
      <w:r>
        <w:rPr>
          <w:rFonts w:ascii="Palatino Linotype" w:hAnsi="Palatino Linotype"/>
          <w:lang w:val="es-ES_tradnl"/>
        </w:rPr>
        <w:tab/>
      </w:r>
      <w:r w:rsidRPr="008040BB">
        <w:rPr>
          <w:rFonts w:ascii="Palatino Linotype" w:hAnsi="Palatino Linotype"/>
          <w:lang w:val="es-ES_tradnl"/>
        </w:rPr>
        <w:t>Carlos Mercado Herreros</w:t>
      </w:r>
    </w:p>
    <w:p w:rsidR="00144FE1" w:rsidRPr="008040BB" w:rsidRDefault="00144FE1" w:rsidP="00144FE1">
      <w:pPr>
        <w:overflowPunct w:val="0"/>
        <w:autoSpaceDE w:val="0"/>
        <w:autoSpaceDN w:val="0"/>
        <w:adjustRightInd w:val="0"/>
        <w:rPr>
          <w:rFonts w:ascii="Palatino Linotype" w:hAnsi="Palatino Linotype"/>
          <w:lang w:val="es-ES_tradnl"/>
        </w:rPr>
      </w:pPr>
    </w:p>
    <w:p w:rsidR="00144FE1" w:rsidRPr="008040BB" w:rsidRDefault="00144FE1" w:rsidP="00144FE1">
      <w:pPr>
        <w:overflowPunct w:val="0"/>
        <w:autoSpaceDE w:val="0"/>
        <w:autoSpaceDN w:val="0"/>
        <w:adjustRightInd w:val="0"/>
        <w:rPr>
          <w:rFonts w:ascii="Palatino Linotype" w:hAnsi="Palatino Linotype"/>
          <w:lang w:val="es-ES_tradnl"/>
        </w:rPr>
      </w:pPr>
    </w:p>
    <w:p w:rsidR="00144FE1" w:rsidRDefault="00144FE1" w:rsidP="00144FE1">
      <w:pPr>
        <w:overflowPunct w:val="0"/>
        <w:autoSpaceDE w:val="0"/>
        <w:autoSpaceDN w:val="0"/>
        <w:adjustRightInd w:val="0"/>
        <w:rPr>
          <w:rFonts w:ascii="Palatino Linotype" w:hAnsi="Palatino Linotype"/>
          <w:lang w:val="es-ES_tradnl"/>
        </w:rPr>
      </w:pPr>
    </w:p>
    <w:p w:rsidR="00144FE1" w:rsidRDefault="00144FE1" w:rsidP="00144FE1">
      <w:pPr>
        <w:overflowPunct w:val="0"/>
        <w:autoSpaceDE w:val="0"/>
        <w:autoSpaceDN w:val="0"/>
        <w:adjustRightInd w:val="0"/>
        <w:rPr>
          <w:rFonts w:ascii="Palatino Linotype" w:hAnsi="Palatino Linotype"/>
          <w:lang w:val="es-ES_tradnl"/>
        </w:rPr>
      </w:pPr>
    </w:p>
    <w:p w:rsidR="00144FE1" w:rsidRPr="008040BB" w:rsidRDefault="00144FE1" w:rsidP="00144FE1">
      <w:pPr>
        <w:overflowPunct w:val="0"/>
        <w:autoSpaceDE w:val="0"/>
        <w:autoSpaceDN w:val="0"/>
        <w:adjustRightInd w:val="0"/>
        <w:rPr>
          <w:rFonts w:ascii="Palatino Linotype" w:hAnsi="Palatino Linotype"/>
          <w:lang w:val="es-ES_tradnl"/>
        </w:rPr>
      </w:pPr>
      <w:r w:rsidRPr="008040BB">
        <w:rPr>
          <w:rFonts w:ascii="Palatino Linotype" w:hAnsi="Palatino Linotype"/>
          <w:lang w:val="es-ES_tradnl"/>
        </w:rPr>
        <w:t>Juan Pablo Román Rodríguez</w:t>
      </w:r>
    </w:p>
    <w:p w:rsidR="00144FE1" w:rsidRPr="008040BB" w:rsidRDefault="00144FE1" w:rsidP="00144FE1">
      <w:pPr>
        <w:overflowPunct w:val="0"/>
        <w:autoSpaceDE w:val="0"/>
        <w:autoSpaceDN w:val="0"/>
        <w:adjustRightInd w:val="0"/>
        <w:rPr>
          <w:rFonts w:ascii="Palatino Linotype" w:hAnsi="Palatino Linotype"/>
          <w:lang w:val="es-ES_tradnl"/>
        </w:rPr>
      </w:pPr>
      <w:r w:rsidRPr="008040BB">
        <w:rPr>
          <w:rFonts w:ascii="Palatino Linotype" w:hAnsi="Palatino Linotype"/>
          <w:lang w:val="es-ES_tradnl"/>
        </w:rPr>
        <w:t xml:space="preserve">                     Presidente</w:t>
      </w:r>
    </w:p>
    <w:p w:rsidR="00144FE1" w:rsidRPr="008040BB" w:rsidRDefault="00144FE1" w:rsidP="00144FE1">
      <w:pPr>
        <w:overflowPunct w:val="0"/>
        <w:autoSpaceDE w:val="0"/>
        <w:autoSpaceDN w:val="0"/>
        <w:adjustRightInd w:val="0"/>
        <w:rPr>
          <w:rFonts w:ascii="Palatino Linotype" w:hAnsi="Palatino Linotype"/>
          <w:lang w:val="es-ES_tradnl"/>
        </w:rPr>
      </w:pPr>
    </w:p>
    <w:p w:rsidR="00144FE1" w:rsidRDefault="00144FE1" w:rsidP="00144FE1">
      <w:pPr>
        <w:overflowPunct w:val="0"/>
        <w:autoSpaceDE w:val="0"/>
        <w:autoSpaceDN w:val="0"/>
        <w:adjustRightInd w:val="0"/>
        <w:rPr>
          <w:rFonts w:ascii="Palatino Linotype" w:hAnsi="Palatino Linotype"/>
          <w:lang w:val="es-ES_tradnl"/>
        </w:rPr>
      </w:pPr>
    </w:p>
    <w:p w:rsidR="00144FE1" w:rsidRPr="008040BB" w:rsidRDefault="00144FE1" w:rsidP="00144FE1">
      <w:pPr>
        <w:overflowPunct w:val="0"/>
        <w:autoSpaceDE w:val="0"/>
        <w:autoSpaceDN w:val="0"/>
        <w:adjustRightInd w:val="0"/>
        <w:rPr>
          <w:rFonts w:ascii="Palatino Linotype" w:hAnsi="Palatino Linotype"/>
          <w:lang w:val="es-ES_tradnl"/>
        </w:rPr>
      </w:pP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t>Javier Castillo Vial</w:t>
      </w:r>
    </w:p>
    <w:p w:rsidR="00144FE1" w:rsidRPr="008040BB" w:rsidRDefault="00144FE1" w:rsidP="00144FE1">
      <w:pPr>
        <w:overflowPunct w:val="0"/>
        <w:autoSpaceDE w:val="0"/>
        <w:autoSpaceDN w:val="0"/>
        <w:adjustRightInd w:val="0"/>
        <w:rPr>
          <w:rFonts w:ascii="Palatino Linotype" w:hAnsi="Palatino Linotype" w:cs="Palatino Linotype"/>
          <w:bCs/>
          <w:lang w:val="es-ES_tradnl"/>
        </w:rPr>
      </w:pP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t xml:space="preserve">       Secretario</w:t>
      </w:r>
    </w:p>
    <w:p w:rsidR="00144FE1" w:rsidRPr="008040BB" w:rsidRDefault="00144FE1" w:rsidP="00144FE1">
      <w:pPr>
        <w:overflowPunct w:val="0"/>
        <w:autoSpaceDE w:val="0"/>
        <w:autoSpaceDN w:val="0"/>
        <w:adjustRightInd w:val="0"/>
        <w:rPr>
          <w:rFonts w:ascii="Palatino Linotype" w:hAnsi="Palatino Linotype" w:cs="Palatino Linotype"/>
          <w:bCs/>
          <w:lang w:val="es-ES_tradnl"/>
        </w:rPr>
      </w:pPr>
    </w:p>
    <w:p w:rsidR="008040BB" w:rsidRPr="008040BB" w:rsidRDefault="008040BB" w:rsidP="00144FE1">
      <w:pPr>
        <w:overflowPunct w:val="0"/>
        <w:autoSpaceDE w:val="0"/>
        <w:autoSpaceDN w:val="0"/>
        <w:adjustRightInd w:val="0"/>
        <w:jc w:val="both"/>
        <w:rPr>
          <w:rFonts w:ascii="Palatino Linotype" w:hAnsi="Palatino Linotype" w:cs="Palatino Linotype"/>
          <w:bCs/>
          <w:lang w:val="es-ES_tradnl"/>
        </w:rPr>
      </w:pPr>
    </w:p>
    <w:sectPr w:rsidR="008040BB" w:rsidRPr="008040BB" w:rsidSect="00093663">
      <w:headerReference w:type="default" r:id="rId8"/>
      <w:footerReference w:type="default" r:id="rId9"/>
      <w:pgSz w:w="12242" w:h="15842" w:code="1"/>
      <w:pgMar w:top="2155" w:right="1418" w:bottom="1701" w:left="1701" w:header="709" w:footer="851"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C72" w:rsidRDefault="003D1C72" w:rsidP="00F723C1">
      <w:r>
        <w:separator/>
      </w:r>
    </w:p>
  </w:endnote>
  <w:endnote w:type="continuationSeparator" w:id="0">
    <w:p w:rsidR="003D1C72" w:rsidRDefault="003D1C72" w:rsidP="00F72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56F" w:rsidRPr="0089456F" w:rsidRDefault="0089456F">
    <w:pPr>
      <w:pStyle w:val="Piedepgina"/>
      <w:jc w:val="right"/>
      <w:rPr>
        <w:sz w:val="20"/>
        <w:szCs w:val="20"/>
      </w:rPr>
    </w:pPr>
  </w:p>
  <w:p w:rsidR="0089456F" w:rsidRDefault="008945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C72" w:rsidRDefault="003D1C72" w:rsidP="00F723C1">
      <w:r>
        <w:separator/>
      </w:r>
    </w:p>
  </w:footnote>
  <w:footnote w:type="continuationSeparator" w:id="0">
    <w:p w:rsidR="003D1C72" w:rsidRDefault="003D1C72" w:rsidP="00F72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6C7" w:rsidRPr="006166C7" w:rsidRDefault="006166C7" w:rsidP="006166C7">
    <w:pPr>
      <w:overflowPunct w:val="0"/>
      <w:autoSpaceDE w:val="0"/>
      <w:autoSpaceDN w:val="0"/>
      <w:adjustRightInd w:val="0"/>
      <w:jc w:val="center"/>
      <w:rPr>
        <w:rFonts w:ascii="Garamond" w:hAnsi="Garamond"/>
        <w:b/>
        <w:sz w:val="20"/>
        <w:szCs w:val="20"/>
        <w:lang w:val="es-ES_tradnl"/>
      </w:rPr>
    </w:pPr>
    <w:r w:rsidRPr="006166C7">
      <w:rPr>
        <w:rFonts w:ascii="Garamond" w:hAnsi="Garamond"/>
        <w:b/>
        <w:sz w:val="20"/>
        <w:szCs w:val="20"/>
        <w:lang w:val="es-ES_tradnl"/>
      </w:rPr>
      <w:t>COMISIÓN ARBITRAL</w:t>
    </w:r>
  </w:p>
  <w:p w:rsidR="006166C7" w:rsidRPr="006166C7" w:rsidRDefault="006166C7" w:rsidP="006166C7">
    <w:pPr>
      <w:overflowPunct w:val="0"/>
      <w:autoSpaceDE w:val="0"/>
      <w:autoSpaceDN w:val="0"/>
      <w:adjustRightInd w:val="0"/>
      <w:jc w:val="center"/>
      <w:rPr>
        <w:rFonts w:ascii="Garamond" w:hAnsi="Garamond"/>
        <w:b/>
        <w:sz w:val="20"/>
        <w:szCs w:val="20"/>
        <w:lang w:val="es-ES_tradnl"/>
      </w:rPr>
    </w:pPr>
    <w:r w:rsidRPr="006166C7">
      <w:rPr>
        <w:rFonts w:ascii="Garamond" w:hAnsi="Garamond"/>
        <w:b/>
        <w:sz w:val="20"/>
        <w:szCs w:val="20"/>
        <w:lang w:val="es-ES_tradnl"/>
      </w:rPr>
      <w:t>CONTRATO DE CONCESIÓN DE OBRA PÚBLICA FISCAL</w:t>
    </w:r>
  </w:p>
  <w:p w:rsidR="006166C7" w:rsidRPr="006166C7" w:rsidRDefault="009A2B0B" w:rsidP="006166C7">
    <w:pPr>
      <w:overflowPunct w:val="0"/>
      <w:autoSpaceDE w:val="0"/>
      <w:autoSpaceDN w:val="0"/>
      <w:adjustRightInd w:val="0"/>
      <w:jc w:val="center"/>
      <w:rPr>
        <w:rFonts w:ascii="Garamond" w:hAnsi="Garamond"/>
        <w:b/>
        <w:sz w:val="20"/>
        <w:szCs w:val="20"/>
        <w:lang w:val="es-ES_tradnl"/>
      </w:rPr>
    </w:pPr>
    <w:r>
      <w:rPr>
        <w:rFonts w:ascii="Garamond" w:hAnsi="Garamond"/>
        <w:b/>
        <w:sz w:val="20"/>
        <w:szCs w:val="20"/>
        <w:lang w:val="es-ES_tradnl"/>
      </w:rPr>
      <w:t>AEROPUERTO INTERNACIONAL ARTURO MERINO BENÍTEZ DE SANTIAGO</w:t>
    </w:r>
  </w:p>
  <w:p w:rsidR="00F723C1" w:rsidRPr="009135AA" w:rsidRDefault="009A2B0B" w:rsidP="009A2B0B">
    <w:pPr>
      <w:pStyle w:val="Encabezado"/>
      <w:pBdr>
        <w:bottom w:val="single" w:sz="4" w:space="1" w:color="auto"/>
      </w:pBdr>
      <w:tabs>
        <w:tab w:val="clear" w:pos="9026"/>
      </w:tabs>
      <w:rPr>
        <w:rFonts w:ascii="Arial" w:hAnsi="Arial" w:cs="Arial"/>
        <w:b/>
        <w:i/>
      </w:rPr>
    </w:pPr>
    <w:r>
      <w:rPr>
        <w:rFonts w:ascii="Arial" w:hAnsi="Arial" w:cs="Arial"/>
        <w:b/>
        <w:i/>
      </w:rPr>
      <w:tab/>
    </w:r>
    <w:r>
      <w:rPr>
        <w:rFonts w:ascii="Arial" w:hAnsi="Arial" w:cs="Arial"/>
        <w:b/>
        <w:i/>
      </w:rPr>
      <w:tab/>
    </w:r>
  </w:p>
  <w:p w:rsidR="00F723C1" w:rsidRPr="00F723C1" w:rsidRDefault="00F723C1" w:rsidP="00F723C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25819"/>
    <w:multiLevelType w:val="hybridMultilevel"/>
    <w:tmpl w:val="78F0082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7B134B2"/>
    <w:multiLevelType w:val="hybridMultilevel"/>
    <w:tmpl w:val="F312854E"/>
    <w:lvl w:ilvl="0" w:tplc="21B0DB92">
      <w:start w:val="1"/>
      <w:numFmt w:val="bullet"/>
      <w:lvlText w:val="-"/>
      <w:lvlJc w:val="left"/>
      <w:pPr>
        <w:ind w:left="1080" w:hanging="360"/>
      </w:pPr>
      <w:rPr>
        <w:rFonts w:ascii="Times New Roman" w:eastAsia="Times New Roman" w:hAnsi="Times New Roman" w:hint="default"/>
      </w:rPr>
    </w:lvl>
    <w:lvl w:ilvl="1" w:tplc="0C0A0003">
      <w:start w:val="1"/>
      <w:numFmt w:val="bullet"/>
      <w:lvlText w:val="o"/>
      <w:lvlJc w:val="left"/>
      <w:pPr>
        <w:ind w:left="1800" w:hanging="360"/>
      </w:pPr>
      <w:rPr>
        <w:rFonts w:ascii="Courier New" w:hAnsi="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2" w15:restartNumberingAfterBreak="0">
    <w:nsid w:val="0EEA5D04"/>
    <w:multiLevelType w:val="hybridMultilevel"/>
    <w:tmpl w:val="7BAACC98"/>
    <w:lvl w:ilvl="0" w:tplc="F858F4D0">
      <w:start w:val="1"/>
      <w:numFmt w:val="decimal"/>
      <w:lvlText w:val="%1)"/>
      <w:lvlJc w:val="left"/>
      <w:pPr>
        <w:ind w:left="1788" w:hanging="360"/>
      </w:pPr>
      <w:rPr>
        <w:rFonts w:hint="default"/>
      </w:rPr>
    </w:lvl>
    <w:lvl w:ilvl="1" w:tplc="340A0019" w:tentative="1">
      <w:start w:val="1"/>
      <w:numFmt w:val="lowerLetter"/>
      <w:lvlText w:val="%2."/>
      <w:lvlJc w:val="left"/>
      <w:pPr>
        <w:ind w:left="2508" w:hanging="360"/>
      </w:pPr>
    </w:lvl>
    <w:lvl w:ilvl="2" w:tplc="340A001B" w:tentative="1">
      <w:start w:val="1"/>
      <w:numFmt w:val="lowerRoman"/>
      <w:lvlText w:val="%3."/>
      <w:lvlJc w:val="right"/>
      <w:pPr>
        <w:ind w:left="3228" w:hanging="180"/>
      </w:pPr>
    </w:lvl>
    <w:lvl w:ilvl="3" w:tplc="340A000F" w:tentative="1">
      <w:start w:val="1"/>
      <w:numFmt w:val="decimal"/>
      <w:lvlText w:val="%4."/>
      <w:lvlJc w:val="left"/>
      <w:pPr>
        <w:ind w:left="3948" w:hanging="360"/>
      </w:pPr>
    </w:lvl>
    <w:lvl w:ilvl="4" w:tplc="340A0019" w:tentative="1">
      <w:start w:val="1"/>
      <w:numFmt w:val="lowerLetter"/>
      <w:lvlText w:val="%5."/>
      <w:lvlJc w:val="left"/>
      <w:pPr>
        <w:ind w:left="4668" w:hanging="360"/>
      </w:pPr>
    </w:lvl>
    <w:lvl w:ilvl="5" w:tplc="340A001B" w:tentative="1">
      <w:start w:val="1"/>
      <w:numFmt w:val="lowerRoman"/>
      <w:lvlText w:val="%6."/>
      <w:lvlJc w:val="right"/>
      <w:pPr>
        <w:ind w:left="5388" w:hanging="180"/>
      </w:pPr>
    </w:lvl>
    <w:lvl w:ilvl="6" w:tplc="340A000F" w:tentative="1">
      <w:start w:val="1"/>
      <w:numFmt w:val="decimal"/>
      <w:lvlText w:val="%7."/>
      <w:lvlJc w:val="left"/>
      <w:pPr>
        <w:ind w:left="6108" w:hanging="360"/>
      </w:pPr>
    </w:lvl>
    <w:lvl w:ilvl="7" w:tplc="340A0019" w:tentative="1">
      <w:start w:val="1"/>
      <w:numFmt w:val="lowerLetter"/>
      <w:lvlText w:val="%8."/>
      <w:lvlJc w:val="left"/>
      <w:pPr>
        <w:ind w:left="6828" w:hanging="360"/>
      </w:pPr>
    </w:lvl>
    <w:lvl w:ilvl="8" w:tplc="340A001B" w:tentative="1">
      <w:start w:val="1"/>
      <w:numFmt w:val="lowerRoman"/>
      <w:lvlText w:val="%9."/>
      <w:lvlJc w:val="right"/>
      <w:pPr>
        <w:ind w:left="7548" w:hanging="180"/>
      </w:pPr>
    </w:lvl>
  </w:abstractNum>
  <w:abstractNum w:abstractNumId="3" w15:restartNumberingAfterBreak="0">
    <w:nsid w:val="163F17BD"/>
    <w:multiLevelType w:val="hybridMultilevel"/>
    <w:tmpl w:val="313C472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766600C"/>
    <w:multiLevelType w:val="hybridMultilevel"/>
    <w:tmpl w:val="4A308D9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A1E2D63"/>
    <w:multiLevelType w:val="hybridMultilevel"/>
    <w:tmpl w:val="E9A8816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AF96D71"/>
    <w:multiLevelType w:val="hybridMultilevel"/>
    <w:tmpl w:val="1396DBBA"/>
    <w:lvl w:ilvl="0" w:tplc="1EE23B92">
      <w:start w:val="1"/>
      <w:numFmt w:val="lowerLetter"/>
      <w:lvlText w:val="%1)"/>
      <w:lvlJc w:val="left"/>
      <w:pPr>
        <w:ind w:left="1065" w:hanging="360"/>
      </w:pPr>
      <w:rPr>
        <w:rFonts w:hint="default"/>
        <w:b w:val="0"/>
        <w:bCs w:val="0"/>
      </w:rPr>
    </w:lvl>
    <w:lvl w:ilvl="1" w:tplc="340A0019">
      <w:start w:val="1"/>
      <w:numFmt w:val="lowerLetter"/>
      <w:lvlText w:val="%2."/>
      <w:lvlJc w:val="left"/>
      <w:pPr>
        <w:ind w:left="1785" w:hanging="360"/>
      </w:pPr>
    </w:lvl>
    <w:lvl w:ilvl="2" w:tplc="340A001B">
      <w:start w:val="1"/>
      <w:numFmt w:val="lowerRoman"/>
      <w:lvlText w:val="%3."/>
      <w:lvlJc w:val="right"/>
      <w:pPr>
        <w:ind w:left="2505" w:hanging="180"/>
      </w:pPr>
    </w:lvl>
    <w:lvl w:ilvl="3" w:tplc="340A000F">
      <w:start w:val="1"/>
      <w:numFmt w:val="decimal"/>
      <w:lvlText w:val="%4."/>
      <w:lvlJc w:val="left"/>
      <w:pPr>
        <w:ind w:left="3225" w:hanging="360"/>
      </w:pPr>
    </w:lvl>
    <w:lvl w:ilvl="4" w:tplc="340A0019">
      <w:start w:val="1"/>
      <w:numFmt w:val="lowerLetter"/>
      <w:lvlText w:val="%5."/>
      <w:lvlJc w:val="left"/>
      <w:pPr>
        <w:ind w:left="3945" w:hanging="360"/>
      </w:pPr>
    </w:lvl>
    <w:lvl w:ilvl="5" w:tplc="340A001B">
      <w:start w:val="1"/>
      <w:numFmt w:val="lowerRoman"/>
      <w:lvlText w:val="%6."/>
      <w:lvlJc w:val="right"/>
      <w:pPr>
        <w:ind w:left="4665" w:hanging="180"/>
      </w:pPr>
    </w:lvl>
    <w:lvl w:ilvl="6" w:tplc="340A000F">
      <w:start w:val="1"/>
      <w:numFmt w:val="decimal"/>
      <w:lvlText w:val="%7."/>
      <w:lvlJc w:val="left"/>
      <w:pPr>
        <w:ind w:left="5385" w:hanging="360"/>
      </w:pPr>
    </w:lvl>
    <w:lvl w:ilvl="7" w:tplc="340A0019">
      <w:start w:val="1"/>
      <w:numFmt w:val="lowerLetter"/>
      <w:lvlText w:val="%8."/>
      <w:lvlJc w:val="left"/>
      <w:pPr>
        <w:ind w:left="6105" w:hanging="360"/>
      </w:pPr>
    </w:lvl>
    <w:lvl w:ilvl="8" w:tplc="340A001B">
      <w:start w:val="1"/>
      <w:numFmt w:val="lowerRoman"/>
      <w:lvlText w:val="%9."/>
      <w:lvlJc w:val="right"/>
      <w:pPr>
        <w:ind w:left="6825" w:hanging="180"/>
      </w:pPr>
    </w:lvl>
  </w:abstractNum>
  <w:abstractNum w:abstractNumId="7" w15:restartNumberingAfterBreak="0">
    <w:nsid w:val="20DA1426"/>
    <w:multiLevelType w:val="hybridMultilevel"/>
    <w:tmpl w:val="541E770C"/>
    <w:lvl w:ilvl="0" w:tplc="BCF23666">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8" w15:restartNumberingAfterBreak="0">
    <w:nsid w:val="216F565C"/>
    <w:multiLevelType w:val="multilevel"/>
    <w:tmpl w:val="AA4EE5F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397C84"/>
    <w:multiLevelType w:val="hybridMultilevel"/>
    <w:tmpl w:val="B89AA548"/>
    <w:lvl w:ilvl="0" w:tplc="214A6FF0">
      <w:start w:val="1"/>
      <w:numFmt w:val="decimal"/>
      <w:lvlText w:val="%1)"/>
      <w:lvlJc w:val="left"/>
      <w:pPr>
        <w:ind w:left="1428" w:hanging="360"/>
      </w:pPr>
      <w:rPr>
        <w:rFonts w:hint="default"/>
      </w:r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10" w15:restartNumberingAfterBreak="0">
    <w:nsid w:val="299D2459"/>
    <w:multiLevelType w:val="hybridMultilevel"/>
    <w:tmpl w:val="BF8CD194"/>
    <w:lvl w:ilvl="0" w:tplc="63EE235A">
      <w:start w:val="1"/>
      <w:numFmt w:val="bullet"/>
      <w:lvlText w:val="-"/>
      <w:lvlJc w:val="left"/>
      <w:pPr>
        <w:ind w:left="1080" w:hanging="360"/>
      </w:pPr>
      <w:rPr>
        <w:rFonts w:ascii="Times New Roman" w:eastAsia="Times New Roman" w:hAnsi="Times New Roman"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11" w15:restartNumberingAfterBreak="0">
    <w:nsid w:val="32760A5A"/>
    <w:multiLevelType w:val="hybridMultilevel"/>
    <w:tmpl w:val="99F4C050"/>
    <w:lvl w:ilvl="0" w:tplc="491ABB9A">
      <w:start w:val="1"/>
      <w:numFmt w:val="decimal"/>
      <w:lvlText w:val="%1)"/>
      <w:lvlJc w:val="left"/>
      <w:pPr>
        <w:ind w:left="1428" w:hanging="360"/>
      </w:pPr>
      <w:rPr>
        <w:rFonts w:hint="default"/>
      </w:r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12" w15:restartNumberingAfterBreak="0">
    <w:nsid w:val="37310661"/>
    <w:multiLevelType w:val="hybridMultilevel"/>
    <w:tmpl w:val="E10AE2B4"/>
    <w:lvl w:ilvl="0" w:tplc="1EE23B92">
      <w:start w:val="1"/>
      <w:numFmt w:val="lowerLetter"/>
      <w:lvlText w:val="%1)"/>
      <w:lvlJc w:val="left"/>
      <w:pPr>
        <w:ind w:left="1065" w:hanging="360"/>
      </w:pPr>
      <w:rPr>
        <w:rFonts w:hint="default"/>
      </w:rPr>
    </w:lvl>
    <w:lvl w:ilvl="1" w:tplc="340A0019">
      <w:start w:val="1"/>
      <w:numFmt w:val="lowerLetter"/>
      <w:lvlText w:val="%2."/>
      <w:lvlJc w:val="left"/>
      <w:pPr>
        <w:ind w:left="1785" w:hanging="360"/>
      </w:pPr>
    </w:lvl>
    <w:lvl w:ilvl="2" w:tplc="340A001B">
      <w:start w:val="1"/>
      <w:numFmt w:val="lowerRoman"/>
      <w:lvlText w:val="%3."/>
      <w:lvlJc w:val="right"/>
      <w:pPr>
        <w:ind w:left="2505" w:hanging="180"/>
      </w:pPr>
    </w:lvl>
    <w:lvl w:ilvl="3" w:tplc="340A000F">
      <w:start w:val="1"/>
      <w:numFmt w:val="decimal"/>
      <w:lvlText w:val="%4."/>
      <w:lvlJc w:val="left"/>
      <w:pPr>
        <w:ind w:left="3225" w:hanging="360"/>
      </w:pPr>
    </w:lvl>
    <w:lvl w:ilvl="4" w:tplc="340A0019">
      <w:start w:val="1"/>
      <w:numFmt w:val="lowerLetter"/>
      <w:lvlText w:val="%5."/>
      <w:lvlJc w:val="left"/>
      <w:pPr>
        <w:ind w:left="3945" w:hanging="360"/>
      </w:pPr>
    </w:lvl>
    <w:lvl w:ilvl="5" w:tplc="340A001B">
      <w:start w:val="1"/>
      <w:numFmt w:val="lowerRoman"/>
      <w:lvlText w:val="%6."/>
      <w:lvlJc w:val="right"/>
      <w:pPr>
        <w:ind w:left="4665" w:hanging="180"/>
      </w:pPr>
    </w:lvl>
    <w:lvl w:ilvl="6" w:tplc="340A000F">
      <w:start w:val="1"/>
      <w:numFmt w:val="decimal"/>
      <w:lvlText w:val="%7."/>
      <w:lvlJc w:val="left"/>
      <w:pPr>
        <w:ind w:left="5385" w:hanging="360"/>
      </w:pPr>
    </w:lvl>
    <w:lvl w:ilvl="7" w:tplc="340A0019">
      <w:start w:val="1"/>
      <w:numFmt w:val="lowerLetter"/>
      <w:lvlText w:val="%8."/>
      <w:lvlJc w:val="left"/>
      <w:pPr>
        <w:ind w:left="6105" w:hanging="360"/>
      </w:pPr>
    </w:lvl>
    <w:lvl w:ilvl="8" w:tplc="340A001B">
      <w:start w:val="1"/>
      <w:numFmt w:val="lowerRoman"/>
      <w:lvlText w:val="%9."/>
      <w:lvlJc w:val="right"/>
      <w:pPr>
        <w:ind w:left="6825" w:hanging="180"/>
      </w:pPr>
    </w:lvl>
  </w:abstractNum>
  <w:abstractNum w:abstractNumId="13" w15:restartNumberingAfterBreak="0">
    <w:nsid w:val="3EA453ED"/>
    <w:multiLevelType w:val="hybridMultilevel"/>
    <w:tmpl w:val="C49C4B2E"/>
    <w:lvl w:ilvl="0" w:tplc="1EE23B92">
      <w:start w:val="1"/>
      <w:numFmt w:val="lowerLetter"/>
      <w:lvlText w:val="%1)"/>
      <w:lvlJc w:val="left"/>
      <w:pPr>
        <w:ind w:left="1065" w:hanging="360"/>
      </w:pPr>
      <w:rPr>
        <w:rFonts w:hint="default"/>
      </w:rPr>
    </w:lvl>
    <w:lvl w:ilvl="1" w:tplc="340A0019">
      <w:start w:val="1"/>
      <w:numFmt w:val="lowerLetter"/>
      <w:lvlText w:val="%2."/>
      <w:lvlJc w:val="left"/>
      <w:pPr>
        <w:ind w:left="1785" w:hanging="360"/>
      </w:pPr>
    </w:lvl>
    <w:lvl w:ilvl="2" w:tplc="340A001B">
      <w:start w:val="1"/>
      <w:numFmt w:val="lowerRoman"/>
      <w:lvlText w:val="%3."/>
      <w:lvlJc w:val="right"/>
      <w:pPr>
        <w:ind w:left="2505" w:hanging="180"/>
      </w:pPr>
    </w:lvl>
    <w:lvl w:ilvl="3" w:tplc="340A000F">
      <w:start w:val="1"/>
      <w:numFmt w:val="decimal"/>
      <w:lvlText w:val="%4."/>
      <w:lvlJc w:val="left"/>
      <w:pPr>
        <w:ind w:left="3225" w:hanging="360"/>
      </w:pPr>
    </w:lvl>
    <w:lvl w:ilvl="4" w:tplc="340A0019">
      <w:start w:val="1"/>
      <w:numFmt w:val="lowerLetter"/>
      <w:lvlText w:val="%5."/>
      <w:lvlJc w:val="left"/>
      <w:pPr>
        <w:ind w:left="3945" w:hanging="360"/>
      </w:pPr>
    </w:lvl>
    <w:lvl w:ilvl="5" w:tplc="340A001B">
      <w:start w:val="1"/>
      <w:numFmt w:val="lowerRoman"/>
      <w:lvlText w:val="%6."/>
      <w:lvlJc w:val="right"/>
      <w:pPr>
        <w:ind w:left="4665" w:hanging="180"/>
      </w:pPr>
    </w:lvl>
    <w:lvl w:ilvl="6" w:tplc="340A000F">
      <w:start w:val="1"/>
      <w:numFmt w:val="decimal"/>
      <w:lvlText w:val="%7."/>
      <w:lvlJc w:val="left"/>
      <w:pPr>
        <w:ind w:left="5385" w:hanging="360"/>
      </w:pPr>
    </w:lvl>
    <w:lvl w:ilvl="7" w:tplc="340A0019">
      <w:start w:val="1"/>
      <w:numFmt w:val="lowerLetter"/>
      <w:lvlText w:val="%8."/>
      <w:lvlJc w:val="left"/>
      <w:pPr>
        <w:ind w:left="6105" w:hanging="360"/>
      </w:pPr>
    </w:lvl>
    <w:lvl w:ilvl="8" w:tplc="340A001B">
      <w:start w:val="1"/>
      <w:numFmt w:val="lowerRoman"/>
      <w:lvlText w:val="%9."/>
      <w:lvlJc w:val="right"/>
      <w:pPr>
        <w:ind w:left="6825" w:hanging="180"/>
      </w:pPr>
    </w:lvl>
  </w:abstractNum>
  <w:abstractNum w:abstractNumId="14" w15:restartNumberingAfterBreak="0">
    <w:nsid w:val="4692031A"/>
    <w:multiLevelType w:val="multilevel"/>
    <w:tmpl w:val="70CCCB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8C007E"/>
    <w:multiLevelType w:val="hybridMultilevel"/>
    <w:tmpl w:val="1FEE66E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E0E364B"/>
    <w:multiLevelType w:val="hybridMultilevel"/>
    <w:tmpl w:val="5D1A47A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55C65400"/>
    <w:multiLevelType w:val="hybridMultilevel"/>
    <w:tmpl w:val="C95685B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57B75908"/>
    <w:multiLevelType w:val="hybridMultilevel"/>
    <w:tmpl w:val="40FEAB8E"/>
    <w:lvl w:ilvl="0" w:tplc="94203204">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9" w15:restartNumberingAfterBreak="0">
    <w:nsid w:val="59F71DC7"/>
    <w:multiLevelType w:val="hybridMultilevel"/>
    <w:tmpl w:val="89085E7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15:restartNumberingAfterBreak="0">
    <w:nsid w:val="60C8169C"/>
    <w:multiLevelType w:val="hybridMultilevel"/>
    <w:tmpl w:val="01C073FA"/>
    <w:lvl w:ilvl="0" w:tplc="ACEC8328">
      <w:start w:val="1"/>
      <w:numFmt w:val="decimal"/>
      <w:lvlText w:val="%1)"/>
      <w:lvlJc w:val="left"/>
      <w:pPr>
        <w:ind w:left="1800" w:hanging="360"/>
      </w:pPr>
      <w:rPr>
        <w:rFonts w:hint="default"/>
      </w:r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21" w15:restartNumberingAfterBreak="0">
    <w:nsid w:val="61DC7BCE"/>
    <w:multiLevelType w:val="hybridMultilevel"/>
    <w:tmpl w:val="7E62FD82"/>
    <w:lvl w:ilvl="0" w:tplc="61FEE1FE">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2" w15:restartNumberingAfterBreak="0">
    <w:nsid w:val="63131975"/>
    <w:multiLevelType w:val="multilevel"/>
    <w:tmpl w:val="AC8E5D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DCD1BD4"/>
    <w:multiLevelType w:val="hybridMultilevel"/>
    <w:tmpl w:val="C2302C50"/>
    <w:lvl w:ilvl="0" w:tplc="C8FADA64">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4" w15:restartNumberingAfterBreak="0">
    <w:nsid w:val="6FE91303"/>
    <w:multiLevelType w:val="hybridMultilevel"/>
    <w:tmpl w:val="FFA62DAA"/>
    <w:lvl w:ilvl="0" w:tplc="16CE2140">
      <w:start w:val="1"/>
      <w:numFmt w:val="low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5" w15:restartNumberingAfterBreak="0">
    <w:nsid w:val="703E5535"/>
    <w:multiLevelType w:val="hybridMultilevel"/>
    <w:tmpl w:val="BFF259C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6" w15:restartNumberingAfterBreak="0">
    <w:nsid w:val="73513765"/>
    <w:multiLevelType w:val="hybridMultilevel"/>
    <w:tmpl w:val="F2B8FDE0"/>
    <w:lvl w:ilvl="0" w:tplc="7C7E5D2C">
      <w:start w:val="1"/>
      <w:numFmt w:val="bullet"/>
      <w:lvlText w:val="-"/>
      <w:lvlJc w:val="left"/>
      <w:pPr>
        <w:ind w:left="1080" w:hanging="360"/>
      </w:pPr>
      <w:rPr>
        <w:rFonts w:ascii="Times New Roman" w:eastAsia="Times New Roman" w:hAnsi="Times New Roman"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27" w15:restartNumberingAfterBreak="0">
    <w:nsid w:val="749B406D"/>
    <w:multiLevelType w:val="hybridMultilevel"/>
    <w:tmpl w:val="0EAEABD2"/>
    <w:lvl w:ilvl="0" w:tplc="58E24A3A">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8" w15:restartNumberingAfterBreak="0">
    <w:nsid w:val="776B0A9A"/>
    <w:multiLevelType w:val="multilevel"/>
    <w:tmpl w:val="AFA614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A1E18A1"/>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C6E549C"/>
    <w:multiLevelType w:val="hybridMultilevel"/>
    <w:tmpl w:val="764495E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9"/>
  </w:num>
  <w:num w:numId="2">
    <w:abstractNumId w:val="25"/>
  </w:num>
  <w:num w:numId="3">
    <w:abstractNumId w:val="1"/>
  </w:num>
  <w:num w:numId="4">
    <w:abstractNumId w:val="26"/>
  </w:num>
  <w:num w:numId="5">
    <w:abstractNumId w:val="10"/>
  </w:num>
  <w:num w:numId="6">
    <w:abstractNumId w:val="13"/>
  </w:num>
  <w:num w:numId="7">
    <w:abstractNumId w:val="6"/>
  </w:num>
  <w:num w:numId="8">
    <w:abstractNumId w:val="12"/>
  </w:num>
  <w:num w:numId="9">
    <w:abstractNumId w:val="5"/>
  </w:num>
  <w:num w:numId="10">
    <w:abstractNumId w:val="0"/>
  </w:num>
  <w:num w:numId="11">
    <w:abstractNumId w:val="3"/>
  </w:num>
  <w:num w:numId="12">
    <w:abstractNumId w:val="30"/>
  </w:num>
  <w:num w:numId="13">
    <w:abstractNumId w:val="15"/>
  </w:num>
  <w:num w:numId="14">
    <w:abstractNumId w:val="29"/>
  </w:num>
  <w:num w:numId="15">
    <w:abstractNumId w:val="16"/>
  </w:num>
  <w:num w:numId="16">
    <w:abstractNumId w:val="4"/>
  </w:num>
  <w:num w:numId="17">
    <w:abstractNumId w:val="17"/>
  </w:num>
  <w:num w:numId="18">
    <w:abstractNumId w:val="28"/>
  </w:num>
  <w:num w:numId="19">
    <w:abstractNumId w:val="23"/>
  </w:num>
  <w:num w:numId="20">
    <w:abstractNumId w:val="18"/>
  </w:num>
  <w:num w:numId="21">
    <w:abstractNumId w:val="21"/>
  </w:num>
  <w:num w:numId="22">
    <w:abstractNumId w:val="22"/>
  </w:num>
  <w:num w:numId="23">
    <w:abstractNumId w:val="7"/>
  </w:num>
  <w:num w:numId="24">
    <w:abstractNumId w:val="20"/>
  </w:num>
  <w:num w:numId="25">
    <w:abstractNumId w:val="14"/>
  </w:num>
  <w:num w:numId="26">
    <w:abstractNumId w:val="27"/>
  </w:num>
  <w:num w:numId="27">
    <w:abstractNumId w:val="9"/>
  </w:num>
  <w:num w:numId="28">
    <w:abstractNumId w:val="8"/>
  </w:num>
  <w:num w:numId="29">
    <w:abstractNumId w:val="24"/>
  </w:num>
  <w:num w:numId="30">
    <w:abstractNumId w:val="11"/>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activeWritingStyle w:appName="MSWord" w:lang="es-ES_tradnl" w:vendorID="64" w:dllVersion="131078" w:nlCheck="1" w:checkStyle="0"/>
  <w:activeWritingStyle w:appName="MSWord" w:lang="es-ES" w:vendorID="64" w:dllVersion="131078" w:nlCheck="1" w:checkStyle="0"/>
  <w:activeWritingStyle w:appName="MSWord" w:lang="es-CL" w:vendorID="64" w:dllVersion="131078" w:nlCheck="1" w:checkStyle="0"/>
  <w:proofState w:spelling="clean" w:grammar="clean"/>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3A1"/>
    <w:rsid w:val="00001208"/>
    <w:rsid w:val="00016FCB"/>
    <w:rsid w:val="000251F1"/>
    <w:rsid w:val="00035F5B"/>
    <w:rsid w:val="00041D50"/>
    <w:rsid w:val="00044C0C"/>
    <w:rsid w:val="00045333"/>
    <w:rsid w:val="000543F7"/>
    <w:rsid w:val="000573BA"/>
    <w:rsid w:val="00057FC0"/>
    <w:rsid w:val="00071176"/>
    <w:rsid w:val="00071CA0"/>
    <w:rsid w:val="00093663"/>
    <w:rsid w:val="0009397C"/>
    <w:rsid w:val="000953A1"/>
    <w:rsid w:val="00097A6A"/>
    <w:rsid w:val="000B13D7"/>
    <w:rsid w:val="000C1917"/>
    <w:rsid w:val="000D059F"/>
    <w:rsid w:val="000D244F"/>
    <w:rsid w:val="000D2C06"/>
    <w:rsid w:val="000D4911"/>
    <w:rsid w:val="000E401B"/>
    <w:rsid w:val="000E4CEB"/>
    <w:rsid w:val="000E60D6"/>
    <w:rsid w:val="000F7342"/>
    <w:rsid w:val="001030A4"/>
    <w:rsid w:val="001078F9"/>
    <w:rsid w:val="0011275E"/>
    <w:rsid w:val="00112F8B"/>
    <w:rsid w:val="0012313C"/>
    <w:rsid w:val="001273C7"/>
    <w:rsid w:val="00141A82"/>
    <w:rsid w:val="00144A23"/>
    <w:rsid w:val="00144FE1"/>
    <w:rsid w:val="001457D1"/>
    <w:rsid w:val="00147BF8"/>
    <w:rsid w:val="0016479B"/>
    <w:rsid w:val="0018507E"/>
    <w:rsid w:val="001851D3"/>
    <w:rsid w:val="001943E1"/>
    <w:rsid w:val="001A0A58"/>
    <w:rsid w:val="001D4AC3"/>
    <w:rsid w:val="001E3713"/>
    <w:rsid w:val="001E6CFD"/>
    <w:rsid w:val="001E7D6E"/>
    <w:rsid w:val="001F51A4"/>
    <w:rsid w:val="001F597D"/>
    <w:rsid w:val="00205A70"/>
    <w:rsid w:val="002106DD"/>
    <w:rsid w:val="0023627D"/>
    <w:rsid w:val="0024296D"/>
    <w:rsid w:val="002468E9"/>
    <w:rsid w:val="002548DD"/>
    <w:rsid w:val="002551CD"/>
    <w:rsid w:val="00262E7B"/>
    <w:rsid w:val="00265469"/>
    <w:rsid w:val="00265655"/>
    <w:rsid w:val="0027063E"/>
    <w:rsid w:val="002958A6"/>
    <w:rsid w:val="002A4D28"/>
    <w:rsid w:val="002A634B"/>
    <w:rsid w:val="002A7FCF"/>
    <w:rsid w:val="002B2250"/>
    <w:rsid w:val="002C07D6"/>
    <w:rsid w:val="002D0621"/>
    <w:rsid w:val="002D6422"/>
    <w:rsid w:val="002E2222"/>
    <w:rsid w:val="002F26EE"/>
    <w:rsid w:val="002F6780"/>
    <w:rsid w:val="003048C0"/>
    <w:rsid w:val="00312344"/>
    <w:rsid w:val="0031516B"/>
    <w:rsid w:val="00315ADE"/>
    <w:rsid w:val="003248F8"/>
    <w:rsid w:val="00327241"/>
    <w:rsid w:val="0033147B"/>
    <w:rsid w:val="00331BEC"/>
    <w:rsid w:val="00337D18"/>
    <w:rsid w:val="003467C5"/>
    <w:rsid w:val="00353D20"/>
    <w:rsid w:val="00356A76"/>
    <w:rsid w:val="00356C53"/>
    <w:rsid w:val="003752A7"/>
    <w:rsid w:val="003754A5"/>
    <w:rsid w:val="00397085"/>
    <w:rsid w:val="003A073D"/>
    <w:rsid w:val="003B7252"/>
    <w:rsid w:val="003C1589"/>
    <w:rsid w:val="003D1C72"/>
    <w:rsid w:val="003D6477"/>
    <w:rsid w:val="003E7F59"/>
    <w:rsid w:val="00406E07"/>
    <w:rsid w:val="00422049"/>
    <w:rsid w:val="00436EC4"/>
    <w:rsid w:val="00443768"/>
    <w:rsid w:val="004467E0"/>
    <w:rsid w:val="00454208"/>
    <w:rsid w:val="00462214"/>
    <w:rsid w:val="00462B44"/>
    <w:rsid w:val="00463247"/>
    <w:rsid w:val="00465C6F"/>
    <w:rsid w:val="004669A0"/>
    <w:rsid w:val="0047794B"/>
    <w:rsid w:val="00491C63"/>
    <w:rsid w:val="004A0D99"/>
    <w:rsid w:val="004A7EA5"/>
    <w:rsid w:val="004B49A7"/>
    <w:rsid w:val="004C197A"/>
    <w:rsid w:val="004C78F1"/>
    <w:rsid w:val="004D3F3D"/>
    <w:rsid w:val="004E2C3B"/>
    <w:rsid w:val="004E49BF"/>
    <w:rsid w:val="004F1A28"/>
    <w:rsid w:val="004F30D5"/>
    <w:rsid w:val="00503BB8"/>
    <w:rsid w:val="00503C8D"/>
    <w:rsid w:val="0051760F"/>
    <w:rsid w:val="0052328D"/>
    <w:rsid w:val="005247A4"/>
    <w:rsid w:val="00537D6E"/>
    <w:rsid w:val="005514C4"/>
    <w:rsid w:val="00556C4C"/>
    <w:rsid w:val="00563950"/>
    <w:rsid w:val="00571950"/>
    <w:rsid w:val="0057423A"/>
    <w:rsid w:val="00576478"/>
    <w:rsid w:val="00585BE7"/>
    <w:rsid w:val="005928E7"/>
    <w:rsid w:val="005A29C9"/>
    <w:rsid w:val="005A58D6"/>
    <w:rsid w:val="005E2F66"/>
    <w:rsid w:val="005F21FF"/>
    <w:rsid w:val="005F2B9F"/>
    <w:rsid w:val="005F54A2"/>
    <w:rsid w:val="005F7E48"/>
    <w:rsid w:val="006060CD"/>
    <w:rsid w:val="00612FA2"/>
    <w:rsid w:val="006166C7"/>
    <w:rsid w:val="006176DB"/>
    <w:rsid w:val="00625092"/>
    <w:rsid w:val="00632844"/>
    <w:rsid w:val="00632B21"/>
    <w:rsid w:val="0063693F"/>
    <w:rsid w:val="0065488C"/>
    <w:rsid w:val="006574B6"/>
    <w:rsid w:val="006620F7"/>
    <w:rsid w:val="00662123"/>
    <w:rsid w:val="00673B22"/>
    <w:rsid w:val="00676050"/>
    <w:rsid w:val="006915FF"/>
    <w:rsid w:val="006917BE"/>
    <w:rsid w:val="00692D04"/>
    <w:rsid w:val="00694E91"/>
    <w:rsid w:val="006A4BA4"/>
    <w:rsid w:val="006C6AF7"/>
    <w:rsid w:val="006E11FA"/>
    <w:rsid w:val="006E144E"/>
    <w:rsid w:val="006E1A3A"/>
    <w:rsid w:val="006E5333"/>
    <w:rsid w:val="006E726B"/>
    <w:rsid w:val="006F1241"/>
    <w:rsid w:val="007020A9"/>
    <w:rsid w:val="00702C8F"/>
    <w:rsid w:val="00705A5B"/>
    <w:rsid w:val="00707642"/>
    <w:rsid w:val="0071257D"/>
    <w:rsid w:val="00716493"/>
    <w:rsid w:val="00723A11"/>
    <w:rsid w:val="0074186D"/>
    <w:rsid w:val="00747AD5"/>
    <w:rsid w:val="007568AC"/>
    <w:rsid w:val="00762B8D"/>
    <w:rsid w:val="007702F7"/>
    <w:rsid w:val="00770D18"/>
    <w:rsid w:val="00791532"/>
    <w:rsid w:val="007A3A7C"/>
    <w:rsid w:val="007A68EE"/>
    <w:rsid w:val="007B39D6"/>
    <w:rsid w:val="007B73B9"/>
    <w:rsid w:val="007C325E"/>
    <w:rsid w:val="007D3135"/>
    <w:rsid w:val="00801726"/>
    <w:rsid w:val="008040BB"/>
    <w:rsid w:val="00806774"/>
    <w:rsid w:val="00807AA9"/>
    <w:rsid w:val="008125A5"/>
    <w:rsid w:val="0081262E"/>
    <w:rsid w:val="008146D7"/>
    <w:rsid w:val="00821FB8"/>
    <w:rsid w:val="00823C80"/>
    <w:rsid w:val="00835DBC"/>
    <w:rsid w:val="008409CF"/>
    <w:rsid w:val="0084586E"/>
    <w:rsid w:val="0084587C"/>
    <w:rsid w:val="008550EC"/>
    <w:rsid w:val="0085576E"/>
    <w:rsid w:val="0085750C"/>
    <w:rsid w:val="00873CA1"/>
    <w:rsid w:val="00877FF0"/>
    <w:rsid w:val="0088324C"/>
    <w:rsid w:val="00883829"/>
    <w:rsid w:val="00887ED3"/>
    <w:rsid w:val="0089456F"/>
    <w:rsid w:val="008A0DE1"/>
    <w:rsid w:val="008A3B39"/>
    <w:rsid w:val="008B10EB"/>
    <w:rsid w:val="008B1E24"/>
    <w:rsid w:val="008B1F94"/>
    <w:rsid w:val="008B2D44"/>
    <w:rsid w:val="008C0D14"/>
    <w:rsid w:val="008C3E77"/>
    <w:rsid w:val="008C6B45"/>
    <w:rsid w:val="008D4C2E"/>
    <w:rsid w:val="008D6974"/>
    <w:rsid w:val="008E2EE3"/>
    <w:rsid w:val="008E3132"/>
    <w:rsid w:val="008E614E"/>
    <w:rsid w:val="008F2064"/>
    <w:rsid w:val="009104D5"/>
    <w:rsid w:val="009213C5"/>
    <w:rsid w:val="00926495"/>
    <w:rsid w:val="009306C9"/>
    <w:rsid w:val="00934DE1"/>
    <w:rsid w:val="00945F1D"/>
    <w:rsid w:val="00947A0D"/>
    <w:rsid w:val="00952C97"/>
    <w:rsid w:val="009534AE"/>
    <w:rsid w:val="00956B1E"/>
    <w:rsid w:val="009658A6"/>
    <w:rsid w:val="00970064"/>
    <w:rsid w:val="00984C17"/>
    <w:rsid w:val="0099624F"/>
    <w:rsid w:val="00996650"/>
    <w:rsid w:val="009A2B0B"/>
    <w:rsid w:val="009A30B2"/>
    <w:rsid w:val="009A3A3D"/>
    <w:rsid w:val="009A52CB"/>
    <w:rsid w:val="009B34A9"/>
    <w:rsid w:val="009B4BDB"/>
    <w:rsid w:val="009C22D5"/>
    <w:rsid w:val="009C6F32"/>
    <w:rsid w:val="009F3D6E"/>
    <w:rsid w:val="00A11880"/>
    <w:rsid w:val="00A31108"/>
    <w:rsid w:val="00A34917"/>
    <w:rsid w:val="00A36694"/>
    <w:rsid w:val="00A4013B"/>
    <w:rsid w:val="00A56ECA"/>
    <w:rsid w:val="00A57AF5"/>
    <w:rsid w:val="00A62643"/>
    <w:rsid w:val="00A70539"/>
    <w:rsid w:val="00A72BF2"/>
    <w:rsid w:val="00A75426"/>
    <w:rsid w:val="00A93F53"/>
    <w:rsid w:val="00A95C5D"/>
    <w:rsid w:val="00A96BBC"/>
    <w:rsid w:val="00AA6BBC"/>
    <w:rsid w:val="00AB0A34"/>
    <w:rsid w:val="00AB1E89"/>
    <w:rsid w:val="00AC4226"/>
    <w:rsid w:val="00AC4D29"/>
    <w:rsid w:val="00AD613F"/>
    <w:rsid w:val="00AD7C5B"/>
    <w:rsid w:val="00AE7DB9"/>
    <w:rsid w:val="00B02B05"/>
    <w:rsid w:val="00B15694"/>
    <w:rsid w:val="00B166B4"/>
    <w:rsid w:val="00B222F9"/>
    <w:rsid w:val="00B23416"/>
    <w:rsid w:val="00B25F29"/>
    <w:rsid w:val="00B33CDC"/>
    <w:rsid w:val="00B33FB4"/>
    <w:rsid w:val="00B36B9A"/>
    <w:rsid w:val="00B45A75"/>
    <w:rsid w:val="00B45E40"/>
    <w:rsid w:val="00B466FA"/>
    <w:rsid w:val="00B72F29"/>
    <w:rsid w:val="00B768D6"/>
    <w:rsid w:val="00B76C47"/>
    <w:rsid w:val="00B77FA4"/>
    <w:rsid w:val="00B80B68"/>
    <w:rsid w:val="00B80E2B"/>
    <w:rsid w:val="00B95790"/>
    <w:rsid w:val="00BA1EBD"/>
    <w:rsid w:val="00BA7DD1"/>
    <w:rsid w:val="00BB1441"/>
    <w:rsid w:val="00BD3EF2"/>
    <w:rsid w:val="00BF02B0"/>
    <w:rsid w:val="00BF2438"/>
    <w:rsid w:val="00BF714F"/>
    <w:rsid w:val="00C03157"/>
    <w:rsid w:val="00C040B8"/>
    <w:rsid w:val="00C069BD"/>
    <w:rsid w:val="00C0746A"/>
    <w:rsid w:val="00C2195E"/>
    <w:rsid w:val="00C24C4A"/>
    <w:rsid w:val="00C3053C"/>
    <w:rsid w:val="00C43719"/>
    <w:rsid w:val="00C51A81"/>
    <w:rsid w:val="00C57113"/>
    <w:rsid w:val="00C7147E"/>
    <w:rsid w:val="00C733D0"/>
    <w:rsid w:val="00C8309E"/>
    <w:rsid w:val="00CB652A"/>
    <w:rsid w:val="00CC3798"/>
    <w:rsid w:val="00CC6A25"/>
    <w:rsid w:val="00CC6EC4"/>
    <w:rsid w:val="00CD63A4"/>
    <w:rsid w:val="00CD6942"/>
    <w:rsid w:val="00CE0002"/>
    <w:rsid w:val="00CE055D"/>
    <w:rsid w:val="00CE1903"/>
    <w:rsid w:val="00CE3F2E"/>
    <w:rsid w:val="00CF0103"/>
    <w:rsid w:val="00CF0A03"/>
    <w:rsid w:val="00D1357F"/>
    <w:rsid w:val="00D1522E"/>
    <w:rsid w:val="00D1572F"/>
    <w:rsid w:val="00D16CDE"/>
    <w:rsid w:val="00D31FED"/>
    <w:rsid w:val="00D46525"/>
    <w:rsid w:val="00D5197C"/>
    <w:rsid w:val="00D52896"/>
    <w:rsid w:val="00D56A5A"/>
    <w:rsid w:val="00D57DE8"/>
    <w:rsid w:val="00D6064F"/>
    <w:rsid w:val="00D612F7"/>
    <w:rsid w:val="00D706FF"/>
    <w:rsid w:val="00D73A65"/>
    <w:rsid w:val="00D77EFF"/>
    <w:rsid w:val="00D80ADF"/>
    <w:rsid w:val="00D84A97"/>
    <w:rsid w:val="00D86C75"/>
    <w:rsid w:val="00D93336"/>
    <w:rsid w:val="00DA1A81"/>
    <w:rsid w:val="00DB21EE"/>
    <w:rsid w:val="00DB68AB"/>
    <w:rsid w:val="00DB6C94"/>
    <w:rsid w:val="00DD5AEE"/>
    <w:rsid w:val="00DD7D0A"/>
    <w:rsid w:val="00DE502E"/>
    <w:rsid w:val="00DE6F75"/>
    <w:rsid w:val="00DF278B"/>
    <w:rsid w:val="00DF2F43"/>
    <w:rsid w:val="00DF428C"/>
    <w:rsid w:val="00E011D9"/>
    <w:rsid w:val="00E032E1"/>
    <w:rsid w:val="00E060C8"/>
    <w:rsid w:val="00E1557B"/>
    <w:rsid w:val="00E22946"/>
    <w:rsid w:val="00E22CFE"/>
    <w:rsid w:val="00E24276"/>
    <w:rsid w:val="00E275EB"/>
    <w:rsid w:val="00E5077B"/>
    <w:rsid w:val="00E5172A"/>
    <w:rsid w:val="00E52A3C"/>
    <w:rsid w:val="00E56226"/>
    <w:rsid w:val="00E56BC3"/>
    <w:rsid w:val="00E6089F"/>
    <w:rsid w:val="00E639AB"/>
    <w:rsid w:val="00E66CE1"/>
    <w:rsid w:val="00E80524"/>
    <w:rsid w:val="00E84A13"/>
    <w:rsid w:val="00E955A7"/>
    <w:rsid w:val="00E96F79"/>
    <w:rsid w:val="00EB10F3"/>
    <w:rsid w:val="00EB75EE"/>
    <w:rsid w:val="00EC0880"/>
    <w:rsid w:val="00EC7E19"/>
    <w:rsid w:val="00EE15E0"/>
    <w:rsid w:val="00EE5C0A"/>
    <w:rsid w:val="00EF2979"/>
    <w:rsid w:val="00F006D4"/>
    <w:rsid w:val="00F13222"/>
    <w:rsid w:val="00F22CCF"/>
    <w:rsid w:val="00F3164B"/>
    <w:rsid w:val="00F441AD"/>
    <w:rsid w:val="00F50EBE"/>
    <w:rsid w:val="00F54D5D"/>
    <w:rsid w:val="00F723C1"/>
    <w:rsid w:val="00F8025D"/>
    <w:rsid w:val="00F85EB3"/>
    <w:rsid w:val="00F94599"/>
    <w:rsid w:val="00FA27F3"/>
    <w:rsid w:val="00FA777E"/>
    <w:rsid w:val="00FC1330"/>
    <w:rsid w:val="00FC2415"/>
    <w:rsid w:val="00FC25CE"/>
    <w:rsid w:val="00FD5796"/>
    <w:rsid w:val="00FE0CCC"/>
    <w:rsid w:val="00FE7AC1"/>
    <w:rsid w:val="00FF1B22"/>
    <w:rsid w:val="00FF5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CBB9F3"/>
  <w15:docId w15:val="{6ABA1726-C642-4F7D-8C83-0D61F7779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0BB"/>
    <w:rPr>
      <w:rFonts w:ascii="Times New Roman" w:eastAsia="Times New Roman" w:hAnsi="Times New Roman"/>
      <w:sz w:val="24"/>
      <w:szCs w:val="24"/>
      <w:lang w:val="es-ES" w:eastAsia="es-ES"/>
    </w:rPr>
  </w:style>
  <w:style w:type="paragraph" w:styleId="Ttulo3">
    <w:name w:val="heading 3"/>
    <w:basedOn w:val="Normal"/>
    <w:next w:val="Normal"/>
    <w:link w:val="Ttulo3Car"/>
    <w:uiPriority w:val="99"/>
    <w:qFormat/>
    <w:rsid w:val="00BF02B0"/>
    <w:pPr>
      <w:keepNext/>
      <w:tabs>
        <w:tab w:val="center" w:pos="4680"/>
      </w:tabs>
      <w:spacing w:line="288" w:lineRule="auto"/>
      <w:jc w:val="center"/>
      <w:outlineLvl w:val="2"/>
    </w:pPr>
    <w:rPr>
      <w:b/>
      <w:bCs/>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BF02B0"/>
    <w:rPr>
      <w:rFonts w:ascii="Times New Roman" w:hAnsi="Times New Roman" w:cs="Times New Roman"/>
      <w:b/>
      <w:bCs/>
      <w:sz w:val="20"/>
      <w:szCs w:val="20"/>
      <w:u w:val="single"/>
      <w:lang w:val="es-ES_tradnl" w:eastAsia="es-ES"/>
    </w:rPr>
  </w:style>
  <w:style w:type="character" w:styleId="Hipervnculo">
    <w:name w:val="Hyperlink"/>
    <w:basedOn w:val="Fuentedeprrafopredeter"/>
    <w:uiPriority w:val="99"/>
    <w:rsid w:val="0011275E"/>
    <w:rPr>
      <w:color w:val="0000FF"/>
      <w:u w:val="single"/>
    </w:rPr>
  </w:style>
  <w:style w:type="paragraph" w:styleId="Prrafodelista">
    <w:name w:val="List Paragraph"/>
    <w:basedOn w:val="Normal"/>
    <w:uiPriority w:val="99"/>
    <w:qFormat/>
    <w:rsid w:val="00A34917"/>
    <w:pPr>
      <w:ind w:left="720"/>
    </w:pPr>
  </w:style>
  <w:style w:type="paragraph" w:styleId="Encabezado">
    <w:name w:val="header"/>
    <w:basedOn w:val="Normal"/>
    <w:link w:val="EncabezadoCar"/>
    <w:unhideWhenUsed/>
    <w:rsid w:val="00F723C1"/>
    <w:pPr>
      <w:tabs>
        <w:tab w:val="center" w:pos="4513"/>
        <w:tab w:val="right" w:pos="9026"/>
      </w:tabs>
    </w:pPr>
  </w:style>
  <w:style w:type="character" w:customStyle="1" w:styleId="EncabezadoCar">
    <w:name w:val="Encabezado Car"/>
    <w:basedOn w:val="Fuentedeprrafopredeter"/>
    <w:link w:val="Encabezado"/>
    <w:uiPriority w:val="99"/>
    <w:rsid w:val="00F723C1"/>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F723C1"/>
    <w:pPr>
      <w:tabs>
        <w:tab w:val="center" w:pos="4513"/>
        <w:tab w:val="right" w:pos="9026"/>
      </w:tabs>
    </w:pPr>
  </w:style>
  <w:style w:type="character" w:customStyle="1" w:styleId="PiedepginaCar">
    <w:name w:val="Pie de página Car"/>
    <w:basedOn w:val="Fuentedeprrafopredeter"/>
    <w:link w:val="Piedepgina"/>
    <w:uiPriority w:val="99"/>
    <w:rsid w:val="00F723C1"/>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F723C1"/>
    <w:rPr>
      <w:rFonts w:ascii="Tahoma" w:hAnsi="Tahoma" w:cs="Tahoma"/>
      <w:sz w:val="16"/>
      <w:szCs w:val="16"/>
    </w:rPr>
  </w:style>
  <w:style w:type="character" w:customStyle="1" w:styleId="TextodegloboCar">
    <w:name w:val="Texto de globo Car"/>
    <w:basedOn w:val="Fuentedeprrafopredeter"/>
    <w:link w:val="Textodeglobo"/>
    <w:uiPriority w:val="99"/>
    <w:semiHidden/>
    <w:rsid w:val="00F723C1"/>
    <w:rPr>
      <w:rFonts w:ascii="Tahoma" w:eastAsia="Times New Roman" w:hAnsi="Tahoma" w:cs="Tahoma"/>
      <w:sz w:val="16"/>
      <w:szCs w:val="16"/>
      <w:lang w:val="es-ES" w:eastAsia="es-ES"/>
    </w:rPr>
  </w:style>
  <w:style w:type="paragraph" w:customStyle="1" w:styleId="paragraph">
    <w:name w:val="paragraph"/>
    <w:basedOn w:val="Normal"/>
    <w:rsid w:val="0085750C"/>
    <w:pPr>
      <w:spacing w:before="100" w:beforeAutospacing="1" w:after="100" w:afterAutospacing="1"/>
    </w:pPr>
    <w:rPr>
      <w:lang w:val="es-CL" w:eastAsia="es-CL"/>
    </w:rPr>
  </w:style>
  <w:style w:type="character" w:customStyle="1" w:styleId="normaltextrun">
    <w:name w:val="normaltextrun"/>
    <w:basedOn w:val="Fuentedeprrafopredeter"/>
    <w:rsid w:val="0085750C"/>
  </w:style>
  <w:style w:type="character" w:customStyle="1" w:styleId="eop">
    <w:name w:val="eop"/>
    <w:basedOn w:val="Fuentedeprrafopredeter"/>
    <w:rsid w:val="00857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682161">
      <w:bodyDiv w:val="1"/>
      <w:marLeft w:val="0"/>
      <w:marRight w:val="0"/>
      <w:marTop w:val="0"/>
      <w:marBottom w:val="0"/>
      <w:divBdr>
        <w:top w:val="none" w:sz="0" w:space="0" w:color="auto"/>
        <w:left w:val="none" w:sz="0" w:space="0" w:color="auto"/>
        <w:bottom w:val="none" w:sz="0" w:space="0" w:color="auto"/>
        <w:right w:val="none" w:sz="0" w:space="0" w:color="auto"/>
      </w:divBdr>
    </w:div>
    <w:div w:id="928461505">
      <w:marLeft w:val="0"/>
      <w:marRight w:val="0"/>
      <w:marTop w:val="0"/>
      <w:marBottom w:val="0"/>
      <w:divBdr>
        <w:top w:val="none" w:sz="0" w:space="0" w:color="auto"/>
        <w:left w:val="none" w:sz="0" w:space="0" w:color="auto"/>
        <w:bottom w:val="none" w:sz="0" w:space="0" w:color="auto"/>
        <w:right w:val="none" w:sz="0" w:space="0" w:color="auto"/>
      </w:divBdr>
    </w:div>
    <w:div w:id="928461506">
      <w:marLeft w:val="0"/>
      <w:marRight w:val="0"/>
      <w:marTop w:val="0"/>
      <w:marBottom w:val="0"/>
      <w:divBdr>
        <w:top w:val="none" w:sz="0" w:space="0" w:color="auto"/>
        <w:left w:val="none" w:sz="0" w:space="0" w:color="auto"/>
        <w:bottom w:val="none" w:sz="0" w:space="0" w:color="auto"/>
        <w:right w:val="none" w:sz="0" w:space="0" w:color="auto"/>
      </w:divBdr>
    </w:div>
    <w:div w:id="121569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B6B8C04B2357AE4FBDF24BDBA04462E8" ma:contentTypeVersion="0" ma:contentTypeDescription="Crear nuevo documento." ma:contentTypeScope="" ma:versionID="40dc2ba8255fe9c86464746bc58ebaac">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A4D6CB-01CA-46BE-AC49-148EFB68CF94}"/>
</file>

<file path=customXml/itemProps2.xml><?xml version="1.0" encoding="utf-8"?>
<ds:datastoreItem xmlns:ds="http://schemas.openxmlformats.org/officeDocument/2006/customXml" ds:itemID="{1F9B6E19-CE46-451D-B6BD-73D90CB32A28}"/>
</file>

<file path=customXml/itemProps3.xml><?xml version="1.0" encoding="utf-8"?>
<ds:datastoreItem xmlns:ds="http://schemas.openxmlformats.org/officeDocument/2006/customXml" ds:itemID="{2A58CE81-FD00-4249-A7C0-22E159C5F44A}"/>
</file>

<file path=customXml/itemProps4.xml><?xml version="1.0" encoding="utf-8"?>
<ds:datastoreItem xmlns:ds="http://schemas.openxmlformats.org/officeDocument/2006/customXml" ds:itemID="{A4188225-1EAD-42D2-A17C-D52EF4B23680}"/>
</file>

<file path=docProps/app.xml><?xml version="1.0" encoding="utf-8"?>
<Properties xmlns="http://schemas.openxmlformats.org/officeDocument/2006/extended-properties" xmlns:vt="http://schemas.openxmlformats.org/officeDocument/2006/docPropsVTypes">
  <Template>Normal</Template>
  <TotalTime>265</TotalTime>
  <Pages>9</Pages>
  <Words>2358</Words>
  <Characters>12975</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Roman y Cia</Company>
  <LinksUpToDate>false</LinksUpToDate>
  <CharactersWithSpaces>15303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 de reuniones</dc:creator>
  <cp:lastModifiedBy>Sala de reuniones</cp:lastModifiedBy>
  <cp:revision>108</cp:revision>
  <cp:lastPrinted>2017-07-24T18:13:00Z</cp:lastPrinted>
  <dcterms:created xsi:type="dcterms:W3CDTF">2017-12-28T11:39:00Z</dcterms:created>
  <dcterms:modified xsi:type="dcterms:W3CDTF">2018-06-19T15:30:00Z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0x010100B6B8C04B2357AE4FBDF24BDBA04462E8</vt:lpwstr>
  </property>
</Properties>
</file>